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default"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eastAsia="zh-CN"/>
        </w:rPr>
        <w:t>南通市通州区市场监督管理局</w:t>
      </w:r>
      <w:r>
        <w:rPr>
          <w:rFonts w:hint="default" w:ascii="Times New Roman" w:hAnsi="Times New Roman" w:eastAsia="方正小标宋_GBK" w:cs="Times New Roman"/>
          <w:sz w:val="44"/>
          <w:szCs w:val="44"/>
        </w:rPr>
        <w:t>202</w:t>
      </w:r>
      <w:r>
        <w:rPr>
          <w:rFonts w:hint="default" w:ascii="Times New Roman" w:hAnsi="Times New Roman" w:eastAsia="方正小标宋_GBK" w:cs="Times New Roman"/>
          <w:sz w:val="44"/>
          <w:szCs w:val="44"/>
          <w:lang w:val="en-US" w:eastAsia="zh-CN"/>
        </w:rPr>
        <w:t>3</w:t>
      </w:r>
      <w:r>
        <w:rPr>
          <w:rFonts w:hint="default" w:ascii="Times New Roman" w:hAnsi="Times New Roman" w:eastAsia="方正小标宋_GBK" w:cs="Times New Roman"/>
          <w:sz w:val="44"/>
          <w:szCs w:val="44"/>
        </w:rPr>
        <w:t>年</w:t>
      </w:r>
    </w:p>
    <w:p>
      <w:pPr>
        <w:spacing w:line="56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政府信息公开工作年度报告</w:t>
      </w:r>
    </w:p>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黑体_GBK" w:cs="方正黑体_GBK"/>
          <w:sz w:val="32"/>
          <w:szCs w:val="32"/>
        </w:rPr>
      </w:pPr>
      <w:r>
        <w:rPr>
          <w:rFonts w:ascii="Times New Roman" w:hAnsi="Times New Roman" w:eastAsia="方正仿宋_GBK"/>
          <w:color w:val="auto"/>
          <w:sz w:val="32"/>
          <w:szCs w:val="32"/>
        </w:rPr>
        <w:t>根据《中华人民共和国政府信息公开条例》</w:t>
      </w:r>
      <w:r>
        <w:rPr>
          <w:rFonts w:hint="eastAsia" w:ascii="Times New Roman" w:hAnsi="Times New Roman" w:eastAsia="方正仿宋_GBK"/>
          <w:color w:val="auto"/>
          <w:sz w:val="32"/>
          <w:szCs w:val="32"/>
          <w:lang w:eastAsia="zh-CN"/>
        </w:rPr>
        <w:t>（</w:t>
      </w:r>
      <w:r>
        <w:rPr>
          <w:rFonts w:ascii="Times New Roman" w:hAnsi="Times New Roman" w:eastAsia="方正仿宋_GBK"/>
          <w:color w:val="auto"/>
          <w:sz w:val="32"/>
          <w:szCs w:val="32"/>
        </w:rPr>
        <w:t>以下简称《条例》</w:t>
      </w:r>
      <w:r>
        <w:rPr>
          <w:rFonts w:hint="eastAsia" w:ascii="Times New Roman" w:hAnsi="Times New Roman" w:eastAsia="方正仿宋_GBK"/>
          <w:color w:val="auto"/>
          <w:sz w:val="32"/>
          <w:szCs w:val="32"/>
          <w:lang w:eastAsia="zh-CN"/>
        </w:rPr>
        <w:t>）</w:t>
      </w:r>
      <w:r>
        <w:rPr>
          <w:rFonts w:ascii="Times New Roman" w:hAnsi="Times New Roman" w:eastAsia="方正仿宋_GBK"/>
          <w:color w:val="auto"/>
          <w:sz w:val="32"/>
          <w:szCs w:val="32"/>
        </w:rPr>
        <w:t>的有关规定，向社会公布通州区市场监督管理局202</w:t>
      </w:r>
      <w:r>
        <w:rPr>
          <w:rFonts w:hint="eastAsia" w:ascii="Times New Roman" w:hAnsi="Times New Roman" w:eastAsia="方正仿宋_GBK"/>
          <w:color w:val="auto"/>
          <w:sz w:val="32"/>
          <w:szCs w:val="32"/>
          <w:lang w:val="en-US" w:eastAsia="zh-CN"/>
        </w:rPr>
        <w:t>3</w:t>
      </w:r>
      <w:r>
        <w:rPr>
          <w:rFonts w:ascii="Times New Roman" w:hAnsi="Times New Roman" w:eastAsia="方正仿宋_GBK"/>
          <w:color w:val="auto"/>
          <w:sz w:val="32"/>
          <w:szCs w:val="32"/>
        </w:rPr>
        <w:t>年政府信息公开工作年度报告。报告所列数据的统计期限自202</w:t>
      </w:r>
      <w:r>
        <w:rPr>
          <w:rFonts w:hint="eastAsia" w:ascii="Times New Roman" w:hAnsi="Times New Roman" w:eastAsia="方正仿宋_GBK"/>
          <w:color w:val="auto"/>
          <w:sz w:val="32"/>
          <w:szCs w:val="32"/>
          <w:lang w:val="en-US" w:eastAsia="zh-CN"/>
        </w:rPr>
        <w:t>3</w:t>
      </w:r>
      <w:r>
        <w:rPr>
          <w:rFonts w:ascii="Times New Roman" w:hAnsi="Times New Roman" w:eastAsia="方正仿宋_GBK"/>
          <w:color w:val="auto"/>
          <w:sz w:val="32"/>
          <w:szCs w:val="32"/>
        </w:rPr>
        <w:t>年1月1日起至202</w:t>
      </w:r>
      <w:r>
        <w:rPr>
          <w:rFonts w:hint="eastAsia" w:ascii="Times New Roman" w:hAnsi="Times New Roman" w:eastAsia="方正仿宋_GBK"/>
          <w:color w:val="auto"/>
          <w:sz w:val="32"/>
          <w:szCs w:val="32"/>
          <w:lang w:val="en-US" w:eastAsia="zh-CN"/>
        </w:rPr>
        <w:t>3</w:t>
      </w:r>
      <w:r>
        <w:rPr>
          <w:rFonts w:ascii="Times New Roman" w:hAnsi="Times New Roman" w:eastAsia="方正仿宋_GBK"/>
          <w:color w:val="auto"/>
          <w:sz w:val="32"/>
          <w:szCs w:val="32"/>
        </w:rPr>
        <w:t>年12月31日止。报告通过通州区人民政府网站予以公布。如对本报告有疑问，请与通州区市场监督管理局办公室联系（地址：南通市通州区新金西路80号通州区市场监督管理局；邮编：226300；电话：0513-86512660）。</w:t>
      </w:r>
    </w:p>
    <w:p>
      <w:pPr>
        <w:ind w:firstLine="640" w:firstLineChars="200"/>
        <w:rPr>
          <w:rFonts w:ascii="方正黑体_GBK" w:eastAsia="方正黑体_GBK" w:cs="方正黑体_GBK"/>
          <w:sz w:val="32"/>
          <w:szCs w:val="32"/>
        </w:rPr>
      </w:pPr>
      <w:r>
        <w:rPr>
          <w:rFonts w:hint="eastAsia" w:ascii="方正黑体_GBK" w:eastAsia="方正黑体_GBK" w:cs="方正黑体_GBK"/>
          <w:sz w:val="32"/>
          <w:szCs w:val="32"/>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olor w:val="auto"/>
          <w:kern w:val="0"/>
          <w:sz w:val="32"/>
          <w:szCs w:val="32"/>
          <w:highlight w:val="none"/>
          <w:lang w:eastAsia="zh-CN" w:bidi="ar"/>
        </w:rPr>
      </w:pPr>
      <w:r>
        <w:rPr>
          <w:rFonts w:hint="eastAsia" w:ascii="Times New Roman" w:hAnsi="Times New Roman" w:eastAsia="楷体" w:cs="楷体"/>
          <w:color w:val="auto"/>
          <w:sz w:val="32"/>
          <w:szCs w:val="32"/>
        </w:rPr>
        <w:t>1.主动公开情况。</w:t>
      </w:r>
      <w:r>
        <w:rPr>
          <w:rFonts w:ascii="Times New Roman" w:hAnsi="Times New Roman" w:eastAsia="方正仿宋_GBK"/>
          <w:color w:val="auto"/>
          <w:kern w:val="0"/>
          <w:sz w:val="32"/>
          <w:szCs w:val="32"/>
          <w:highlight w:val="none"/>
          <w:lang w:bidi="ar"/>
        </w:rPr>
        <w:t>我局政务信息公开紧紧围绕全年市场监管</w:t>
      </w:r>
      <w:r>
        <w:rPr>
          <w:rFonts w:hint="eastAsia" w:ascii="Times New Roman" w:hAnsi="Times New Roman" w:eastAsia="方正仿宋_GBK"/>
          <w:color w:val="auto"/>
          <w:kern w:val="0"/>
          <w:sz w:val="32"/>
          <w:szCs w:val="32"/>
          <w:highlight w:val="none"/>
          <w:lang w:eastAsia="zh-CN" w:bidi="ar"/>
        </w:rPr>
        <w:t>职能</w:t>
      </w:r>
      <w:r>
        <w:rPr>
          <w:rFonts w:ascii="Times New Roman" w:hAnsi="Times New Roman" w:eastAsia="方正仿宋_GBK"/>
          <w:color w:val="auto"/>
          <w:kern w:val="0"/>
          <w:sz w:val="32"/>
          <w:szCs w:val="32"/>
          <w:highlight w:val="none"/>
          <w:lang w:bidi="ar"/>
        </w:rPr>
        <w:t>，结合</w:t>
      </w:r>
      <w:r>
        <w:rPr>
          <w:rFonts w:hint="eastAsia" w:ascii="Times New Roman" w:hAnsi="Times New Roman" w:eastAsia="方正仿宋_GBK"/>
          <w:color w:val="auto"/>
          <w:kern w:val="0"/>
          <w:sz w:val="32"/>
          <w:szCs w:val="32"/>
          <w:highlight w:val="none"/>
          <w:lang w:eastAsia="zh-CN" w:bidi="ar"/>
        </w:rPr>
        <w:t>药品保供稳价</w:t>
      </w:r>
      <w:r>
        <w:rPr>
          <w:rFonts w:ascii="Times New Roman" w:hAnsi="Times New Roman" w:eastAsia="方正仿宋_GBK"/>
          <w:color w:val="auto"/>
          <w:kern w:val="0"/>
          <w:sz w:val="32"/>
          <w:szCs w:val="32"/>
          <w:highlight w:val="none"/>
          <w:lang w:bidi="ar"/>
        </w:rPr>
        <w:t>工作，加强食品安全法、</w:t>
      </w:r>
      <w:r>
        <w:rPr>
          <w:rFonts w:hint="eastAsia" w:ascii="Times New Roman" w:hAnsi="Times New Roman" w:eastAsia="方正仿宋_GBK"/>
          <w:color w:val="auto"/>
          <w:kern w:val="0"/>
          <w:sz w:val="32"/>
          <w:szCs w:val="32"/>
          <w:highlight w:val="none"/>
          <w:lang w:eastAsia="zh-CN" w:bidi="ar"/>
        </w:rPr>
        <w:t>药品管理法、</w:t>
      </w:r>
      <w:r>
        <w:rPr>
          <w:rFonts w:ascii="Times New Roman" w:hAnsi="Times New Roman" w:eastAsia="方正仿宋_GBK"/>
          <w:color w:val="auto"/>
          <w:kern w:val="0"/>
          <w:sz w:val="32"/>
          <w:szCs w:val="32"/>
          <w:highlight w:val="none"/>
          <w:lang w:bidi="ar"/>
        </w:rPr>
        <w:t>消费者权益保护法等法律法规宣传力度，</w:t>
      </w:r>
      <w:r>
        <w:rPr>
          <w:rFonts w:hint="eastAsia" w:ascii="Times New Roman" w:hAnsi="Times New Roman" w:eastAsia="方正仿宋_GBK"/>
          <w:color w:val="auto"/>
          <w:kern w:val="0"/>
          <w:sz w:val="32"/>
          <w:szCs w:val="32"/>
          <w:highlight w:val="none"/>
          <w:lang w:eastAsia="zh-CN" w:bidi="ar"/>
        </w:rPr>
        <w:t>通过进社区、进校园、进商超等形式，</w:t>
      </w:r>
      <w:r>
        <w:rPr>
          <w:rFonts w:ascii="Times New Roman" w:hAnsi="Times New Roman" w:eastAsia="方正仿宋_GBK"/>
          <w:color w:val="auto"/>
          <w:kern w:val="0"/>
          <w:sz w:val="32"/>
          <w:szCs w:val="32"/>
          <w:highlight w:val="none"/>
          <w:lang w:bidi="ar"/>
        </w:rPr>
        <w:t>开展了</w:t>
      </w:r>
      <w:r>
        <w:rPr>
          <w:rFonts w:hint="eastAsia" w:ascii="Times New Roman" w:hAnsi="Times New Roman" w:eastAsia="方正仿宋_GBK"/>
          <w:color w:val="auto"/>
          <w:kern w:val="0"/>
          <w:sz w:val="32"/>
          <w:szCs w:val="32"/>
          <w:highlight w:val="none"/>
          <w:lang w:eastAsia="zh-CN" w:bidi="ar"/>
        </w:rPr>
        <w:t>“</w:t>
      </w:r>
      <w:r>
        <w:rPr>
          <w:rFonts w:ascii="Times New Roman" w:hAnsi="Times New Roman" w:eastAsia="方正仿宋_GBK"/>
          <w:color w:val="auto"/>
          <w:kern w:val="0"/>
          <w:sz w:val="32"/>
          <w:szCs w:val="32"/>
          <w:highlight w:val="none"/>
          <w:lang w:bidi="ar"/>
        </w:rPr>
        <w:t>3.15</w:t>
      </w:r>
      <w:r>
        <w:rPr>
          <w:rFonts w:hint="eastAsia" w:ascii="Times New Roman" w:hAnsi="Times New Roman" w:eastAsia="方正仿宋_GBK"/>
          <w:color w:val="auto"/>
          <w:kern w:val="0"/>
          <w:sz w:val="32"/>
          <w:szCs w:val="32"/>
          <w:highlight w:val="none"/>
          <w:lang w:eastAsia="zh-CN" w:bidi="ar"/>
        </w:rPr>
        <w:t>”</w:t>
      </w:r>
      <w:r>
        <w:rPr>
          <w:rFonts w:ascii="Times New Roman" w:hAnsi="Times New Roman" w:eastAsia="方正仿宋_GBK"/>
          <w:color w:val="auto"/>
          <w:kern w:val="0"/>
          <w:sz w:val="32"/>
          <w:szCs w:val="32"/>
          <w:highlight w:val="none"/>
          <w:lang w:bidi="ar"/>
        </w:rPr>
        <w:t>消费者权益保护、</w:t>
      </w:r>
      <w:r>
        <w:rPr>
          <w:rFonts w:hint="eastAsia" w:ascii="Times New Roman" w:hAnsi="Times New Roman" w:eastAsia="方正仿宋_GBK"/>
          <w:color w:val="auto"/>
          <w:kern w:val="0"/>
          <w:sz w:val="32"/>
          <w:szCs w:val="32"/>
          <w:highlight w:val="none"/>
          <w:lang w:eastAsia="zh-CN" w:bidi="ar"/>
        </w:rPr>
        <w:t>“</w:t>
      </w:r>
      <w:r>
        <w:rPr>
          <w:rFonts w:ascii="Times New Roman" w:hAnsi="Times New Roman" w:eastAsia="方正仿宋_GBK"/>
          <w:color w:val="auto"/>
          <w:kern w:val="0"/>
          <w:sz w:val="32"/>
          <w:szCs w:val="32"/>
          <w:highlight w:val="none"/>
          <w:lang w:bidi="ar"/>
        </w:rPr>
        <w:t>5.20</w:t>
      </w:r>
      <w:r>
        <w:rPr>
          <w:rFonts w:hint="eastAsia" w:ascii="Times New Roman" w:hAnsi="Times New Roman" w:eastAsia="方正仿宋_GBK"/>
          <w:color w:val="auto"/>
          <w:kern w:val="0"/>
          <w:sz w:val="32"/>
          <w:szCs w:val="32"/>
          <w:highlight w:val="none"/>
          <w:lang w:eastAsia="zh-CN" w:bidi="ar"/>
        </w:rPr>
        <w:t>”</w:t>
      </w:r>
      <w:r>
        <w:rPr>
          <w:rFonts w:ascii="Times New Roman" w:hAnsi="Times New Roman" w:eastAsia="方正仿宋_GBK"/>
          <w:color w:val="auto"/>
          <w:kern w:val="0"/>
          <w:sz w:val="32"/>
          <w:szCs w:val="32"/>
          <w:highlight w:val="none"/>
          <w:lang w:bidi="ar"/>
        </w:rPr>
        <w:t>世界计量日、</w:t>
      </w:r>
      <w:r>
        <w:rPr>
          <w:rFonts w:hint="eastAsia" w:ascii="Times New Roman" w:hAnsi="Times New Roman" w:eastAsia="方正仿宋_GBK"/>
          <w:color w:val="auto"/>
          <w:kern w:val="0"/>
          <w:sz w:val="32"/>
          <w:szCs w:val="32"/>
          <w:highlight w:val="none"/>
          <w:lang w:eastAsia="zh-CN" w:bidi="ar"/>
        </w:rPr>
        <w:t>宪法宣传周、食品安全宣传周、化妆品安全科普宣传周、医疗器械安全宣传周</w:t>
      </w:r>
      <w:r>
        <w:rPr>
          <w:rFonts w:ascii="Times New Roman" w:hAnsi="Times New Roman" w:eastAsia="方正仿宋_GBK"/>
          <w:color w:val="auto"/>
          <w:kern w:val="0"/>
          <w:sz w:val="32"/>
          <w:szCs w:val="32"/>
          <w:highlight w:val="none"/>
          <w:lang w:bidi="ar"/>
        </w:rPr>
        <w:t>等宣传活动，共计摆设展板</w:t>
      </w:r>
      <w:r>
        <w:rPr>
          <w:rFonts w:hint="eastAsia" w:ascii="Times New Roman" w:hAnsi="Times New Roman" w:eastAsia="方正仿宋_GBK"/>
          <w:color w:val="auto"/>
          <w:kern w:val="0"/>
          <w:sz w:val="32"/>
          <w:szCs w:val="32"/>
          <w:highlight w:val="none"/>
          <w:lang w:val="en-US" w:eastAsia="zh-CN" w:bidi="ar"/>
        </w:rPr>
        <w:t>40余</w:t>
      </w:r>
      <w:r>
        <w:rPr>
          <w:rFonts w:ascii="Times New Roman" w:hAnsi="Times New Roman" w:eastAsia="方正仿宋_GBK"/>
          <w:color w:val="auto"/>
          <w:kern w:val="0"/>
          <w:sz w:val="32"/>
          <w:szCs w:val="32"/>
          <w:highlight w:val="none"/>
          <w:lang w:bidi="ar"/>
        </w:rPr>
        <w:t>块，分发宣传册</w:t>
      </w:r>
      <w:r>
        <w:rPr>
          <w:rFonts w:hint="eastAsia" w:ascii="Times New Roman" w:hAnsi="Times New Roman" w:eastAsia="方正仿宋_GBK"/>
          <w:color w:val="auto"/>
          <w:kern w:val="0"/>
          <w:sz w:val="32"/>
          <w:szCs w:val="32"/>
          <w:highlight w:val="none"/>
          <w:lang w:eastAsia="zh-CN" w:bidi="ar"/>
        </w:rPr>
        <w:t>、</w:t>
      </w:r>
      <w:r>
        <w:rPr>
          <w:rFonts w:ascii="Times New Roman" w:hAnsi="Times New Roman" w:eastAsia="方正仿宋_GBK"/>
          <w:color w:val="auto"/>
          <w:kern w:val="0"/>
          <w:sz w:val="32"/>
          <w:szCs w:val="32"/>
          <w:highlight w:val="none"/>
          <w:lang w:bidi="ar"/>
        </w:rPr>
        <w:t>宣传单</w:t>
      </w:r>
      <w:r>
        <w:rPr>
          <w:rFonts w:hint="eastAsia" w:ascii="Times New Roman" w:hAnsi="Times New Roman" w:eastAsia="方正仿宋_GBK"/>
          <w:color w:val="auto"/>
          <w:kern w:val="0"/>
          <w:sz w:val="32"/>
          <w:szCs w:val="32"/>
          <w:highlight w:val="none"/>
          <w:lang w:val="en-US" w:eastAsia="zh-CN" w:bidi="ar"/>
        </w:rPr>
        <w:t>10</w:t>
      </w:r>
      <w:r>
        <w:rPr>
          <w:rFonts w:ascii="Times New Roman" w:hAnsi="Times New Roman" w:eastAsia="方正仿宋_GBK"/>
          <w:color w:val="auto"/>
          <w:kern w:val="0"/>
          <w:sz w:val="32"/>
          <w:szCs w:val="32"/>
          <w:highlight w:val="none"/>
          <w:lang w:bidi="ar"/>
        </w:rPr>
        <w:t>000余</w:t>
      </w:r>
      <w:r>
        <w:rPr>
          <w:rFonts w:hint="eastAsia" w:ascii="Times New Roman" w:hAnsi="Times New Roman" w:eastAsia="方正仿宋_GBK"/>
          <w:color w:val="auto"/>
          <w:kern w:val="0"/>
          <w:sz w:val="32"/>
          <w:szCs w:val="32"/>
          <w:highlight w:val="none"/>
          <w:lang w:eastAsia="zh-CN" w:bidi="ar"/>
        </w:rPr>
        <w:t>份</w:t>
      </w:r>
      <w:r>
        <w:rPr>
          <w:rFonts w:ascii="Times New Roman" w:hAnsi="Times New Roman" w:eastAsia="方正仿宋_GBK"/>
          <w:color w:val="auto"/>
          <w:kern w:val="0"/>
          <w:sz w:val="32"/>
          <w:szCs w:val="32"/>
          <w:highlight w:val="none"/>
          <w:lang w:bidi="ar"/>
        </w:rPr>
        <w:t>，有效推进食品安全法律法规、</w:t>
      </w:r>
      <w:r>
        <w:rPr>
          <w:rFonts w:hint="eastAsia" w:ascii="Times New Roman" w:hAnsi="Times New Roman" w:eastAsia="方正仿宋_GBK"/>
          <w:color w:val="auto"/>
          <w:kern w:val="0"/>
          <w:sz w:val="32"/>
          <w:szCs w:val="32"/>
          <w:highlight w:val="none"/>
          <w:lang w:eastAsia="zh-CN" w:bidi="ar"/>
        </w:rPr>
        <w:t>药械妆安全知识、</w:t>
      </w:r>
      <w:r>
        <w:rPr>
          <w:rFonts w:ascii="Times New Roman" w:hAnsi="Times New Roman" w:eastAsia="方正仿宋_GBK"/>
          <w:color w:val="auto"/>
          <w:kern w:val="0"/>
          <w:sz w:val="32"/>
          <w:szCs w:val="32"/>
          <w:highlight w:val="none"/>
          <w:lang w:bidi="ar"/>
        </w:rPr>
        <w:t>消费维权知识和市场监管工作的社会普及度。</w:t>
      </w:r>
      <w:r>
        <w:rPr>
          <w:rFonts w:hint="eastAsia" w:ascii="Times New Roman" w:hAnsi="Times New Roman" w:eastAsia="方正仿宋_GBK"/>
          <w:color w:val="auto"/>
          <w:sz w:val="32"/>
          <w:szCs w:val="32"/>
          <w:highlight w:val="none"/>
          <w:lang w:eastAsia="zh-CN"/>
        </w:rPr>
        <w:t>结合</w:t>
      </w:r>
      <w:r>
        <w:rPr>
          <w:rFonts w:ascii="Times New Roman" w:hAnsi="Times New Roman" w:eastAsia="方正仿宋_GBK"/>
          <w:color w:val="auto"/>
          <w:sz w:val="32"/>
          <w:szCs w:val="32"/>
          <w:highlight w:val="none"/>
        </w:rPr>
        <w:t>月度考核及时做好网站政务信息公开栏目。</w:t>
      </w:r>
      <w:r>
        <w:rPr>
          <w:rFonts w:ascii="Times New Roman" w:hAnsi="Times New Roman" w:eastAsia="方正仿宋_GBK"/>
          <w:color w:val="auto"/>
          <w:kern w:val="0"/>
          <w:sz w:val="32"/>
          <w:szCs w:val="32"/>
          <w:highlight w:val="none"/>
          <w:lang w:bidi="ar"/>
        </w:rPr>
        <w:t>此外，我局还</w:t>
      </w:r>
      <w:r>
        <w:rPr>
          <w:rFonts w:hint="eastAsia" w:ascii="Times New Roman" w:hAnsi="Times New Roman" w:eastAsia="方正仿宋_GBK"/>
          <w:color w:val="auto"/>
          <w:kern w:val="0"/>
          <w:sz w:val="32"/>
          <w:szCs w:val="32"/>
          <w:highlight w:val="none"/>
          <w:lang w:eastAsia="zh-CN" w:bidi="ar"/>
        </w:rPr>
        <w:t>召开“</w:t>
      </w:r>
      <w:r>
        <w:rPr>
          <w:rFonts w:hint="eastAsia" w:ascii="Times New Roman" w:hAnsi="Times New Roman" w:eastAsia="方正仿宋_GBK"/>
          <w:color w:val="auto"/>
          <w:kern w:val="0"/>
          <w:sz w:val="32"/>
          <w:szCs w:val="32"/>
          <w:highlight w:val="none"/>
          <w:lang w:val="en-US" w:eastAsia="zh-CN" w:bidi="ar"/>
        </w:rPr>
        <w:t>3·15</w:t>
      </w:r>
      <w:r>
        <w:rPr>
          <w:rFonts w:hint="eastAsia" w:ascii="Times New Roman" w:hAnsi="Times New Roman" w:eastAsia="方正仿宋_GBK"/>
          <w:color w:val="auto"/>
          <w:kern w:val="0"/>
          <w:sz w:val="32"/>
          <w:szCs w:val="32"/>
          <w:highlight w:val="none"/>
          <w:lang w:eastAsia="zh-CN" w:bidi="ar"/>
        </w:rPr>
        <w:t>国际消费者权益日”、“提振消费信心维权年”主题</w:t>
      </w:r>
      <w:r>
        <w:rPr>
          <w:rFonts w:ascii="Times New Roman" w:hAnsi="Times New Roman" w:eastAsia="方正仿宋_GBK"/>
          <w:color w:val="auto"/>
          <w:kern w:val="0"/>
          <w:sz w:val="32"/>
          <w:szCs w:val="32"/>
          <w:highlight w:val="none"/>
          <w:lang w:bidi="ar"/>
        </w:rPr>
        <w:t>新闻发布会</w:t>
      </w:r>
      <w:r>
        <w:rPr>
          <w:rFonts w:hint="eastAsia" w:ascii="Times New Roman" w:hAnsi="Times New Roman" w:eastAsia="方正仿宋_GBK"/>
          <w:color w:val="auto"/>
          <w:kern w:val="0"/>
          <w:sz w:val="32"/>
          <w:szCs w:val="32"/>
          <w:highlight w:val="none"/>
          <w:lang w:eastAsia="zh-CN" w:bidi="ar"/>
        </w:rPr>
        <w:t>各</w:t>
      </w:r>
      <w:r>
        <w:rPr>
          <w:rFonts w:hint="eastAsia" w:ascii="Times New Roman" w:hAnsi="Times New Roman" w:eastAsia="方正仿宋_GBK"/>
          <w:color w:val="auto"/>
          <w:kern w:val="0"/>
          <w:sz w:val="32"/>
          <w:szCs w:val="32"/>
          <w:highlight w:val="none"/>
          <w:lang w:val="en-US" w:eastAsia="zh-CN" w:bidi="ar"/>
        </w:rPr>
        <w:t>1</w:t>
      </w:r>
      <w:r>
        <w:rPr>
          <w:rFonts w:ascii="Times New Roman" w:hAnsi="Times New Roman" w:eastAsia="方正仿宋_GBK"/>
          <w:color w:val="auto"/>
          <w:kern w:val="0"/>
          <w:sz w:val="32"/>
          <w:szCs w:val="32"/>
          <w:highlight w:val="none"/>
          <w:lang w:bidi="ar"/>
        </w:rPr>
        <w:t>次，</w:t>
      </w:r>
      <w:r>
        <w:rPr>
          <w:rFonts w:hint="eastAsia" w:ascii="Times New Roman" w:hAnsi="Times New Roman" w:eastAsia="方正仿宋_GBK"/>
          <w:color w:val="auto"/>
          <w:kern w:val="0"/>
          <w:sz w:val="32"/>
          <w:szCs w:val="32"/>
          <w:highlight w:val="none"/>
          <w:lang w:eastAsia="zh-CN" w:bidi="ar"/>
        </w:rPr>
        <w:t>召开“市场主体公平竞争、公正透明法治环境”在线访谈1次。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olor w:val="auto"/>
          <w:sz w:val="32"/>
          <w:szCs w:val="32"/>
        </w:rPr>
      </w:pPr>
      <w:r>
        <w:rPr>
          <w:rFonts w:ascii="Times New Roman" w:hAnsi="Times New Roman" w:eastAsia="方正仿宋_GBK"/>
          <w:color w:val="auto"/>
          <w:kern w:val="0"/>
          <w:sz w:val="32"/>
          <w:szCs w:val="32"/>
          <w:lang w:bidi="ar"/>
        </w:rPr>
        <w:t>202</w:t>
      </w:r>
      <w:r>
        <w:rPr>
          <w:rFonts w:hint="eastAsia" w:ascii="Times New Roman" w:hAnsi="Times New Roman" w:eastAsia="方正仿宋_GBK"/>
          <w:color w:val="auto"/>
          <w:kern w:val="0"/>
          <w:sz w:val="32"/>
          <w:szCs w:val="32"/>
          <w:lang w:val="en-US" w:eastAsia="zh-CN" w:bidi="ar"/>
        </w:rPr>
        <w:t>3</w:t>
      </w:r>
      <w:r>
        <w:rPr>
          <w:rFonts w:ascii="Times New Roman" w:hAnsi="Times New Roman" w:eastAsia="方正仿宋_GBK"/>
          <w:color w:val="auto"/>
          <w:kern w:val="0"/>
          <w:sz w:val="32"/>
          <w:szCs w:val="32"/>
          <w:lang w:bidi="ar"/>
        </w:rPr>
        <w:t>年，我局在通州</w:t>
      </w:r>
      <w:r>
        <w:rPr>
          <w:rFonts w:hint="eastAsia" w:ascii="Times New Roman" w:hAnsi="Times New Roman" w:eastAsia="方正仿宋_GBK"/>
          <w:color w:val="auto"/>
          <w:kern w:val="0"/>
          <w:sz w:val="32"/>
          <w:szCs w:val="32"/>
          <w:lang w:eastAsia="zh-CN" w:bidi="ar"/>
        </w:rPr>
        <w:t>区</w:t>
      </w:r>
      <w:r>
        <w:rPr>
          <w:rFonts w:ascii="Times New Roman" w:hAnsi="Times New Roman" w:eastAsia="方正仿宋_GBK"/>
          <w:color w:val="auto"/>
          <w:kern w:val="0"/>
          <w:sz w:val="32"/>
          <w:szCs w:val="32"/>
          <w:lang w:bidi="ar"/>
        </w:rPr>
        <w:t>政府网站发布工作动态、食品</w:t>
      </w:r>
      <w:r>
        <w:rPr>
          <w:rFonts w:hint="eastAsia" w:ascii="Times New Roman" w:hAnsi="Times New Roman" w:eastAsia="方正仿宋_GBK"/>
          <w:color w:val="auto"/>
          <w:kern w:val="0"/>
          <w:sz w:val="32"/>
          <w:szCs w:val="32"/>
          <w:lang w:eastAsia="zh-CN" w:bidi="ar"/>
        </w:rPr>
        <w:t>管理</w:t>
      </w:r>
      <w:r>
        <w:rPr>
          <w:rFonts w:ascii="Times New Roman" w:hAnsi="Times New Roman" w:eastAsia="方正仿宋_GBK"/>
          <w:color w:val="auto"/>
          <w:kern w:val="0"/>
          <w:sz w:val="32"/>
          <w:szCs w:val="32"/>
          <w:lang w:bidi="ar"/>
        </w:rPr>
        <w:t>、</w:t>
      </w:r>
      <w:r>
        <w:rPr>
          <w:rFonts w:hint="eastAsia" w:ascii="Times New Roman" w:hAnsi="Times New Roman" w:eastAsia="方正仿宋_GBK"/>
          <w:color w:val="auto"/>
          <w:kern w:val="0"/>
          <w:sz w:val="32"/>
          <w:szCs w:val="32"/>
          <w:lang w:eastAsia="zh-CN" w:bidi="ar"/>
        </w:rPr>
        <w:t>产品质量</w:t>
      </w:r>
      <w:r>
        <w:rPr>
          <w:rFonts w:ascii="Times New Roman" w:hAnsi="Times New Roman" w:eastAsia="方正仿宋_GBK"/>
          <w:color w:val="auto"/>
          <w:kern w:val="0"/>
          <w:sz w:val="32"/>
          <w:szCs w:val="32"/>
          <w:lang w:bidi="ar"/>
        </w:rPr>
        <w:t>、</w:t>
      </w:r>
      <w:r>
        <w:rPr>
          <w:rFonts w:hint="eastAsia" w:ascii="Times New Roman" w:hAnsi="Times New Roman" w:eastAsia="方正仿宋_GBK"/>
          <w:color w:val="auto"/>
          <w:kern w:val="0"/>
          <w:sz w:val="32"/>
          <w:szCs w:val="32"/>
          <w:lang w:eastAsia="zh-CN" w:bidi="ar"/>
        </w:rPr>
        <w:t>药品管理</w:t>
      </w:r>
      <w:r>
        <w:rPr>
          <w:rFonts w:ascii="Times New Roman" w:hAnsi="Times New Roman" w:eastAsia="方正仿宋_GBK"/>
          <w:color w:val="auto"/>
          <w:kern w:val="0"/>
          <w:sz w:val="32"/>
          <w:szCs w:val="32"/>
          <w:lang w:bidi="ar"/>
        </w:rPr>
        <w:t>等信息共计</w:t>
      </w:r>
      <w:r>
        <w:rPr>
          <w:rFonts w:hint="eastAsia" w:ascii="Times New Roman" w:hAnsi="Times New Roman" w:eastAsia="方正仿宋_GBK"/>
          <w:color w:val="auto"/>
          <w:kern w:val="0"/>
          <w:sz w:val="32"/>
          <w:szCs w:val="32"/>
          <w:highlight w:val="none"/>
          <w:lang w:val="en-US" w:eastAsia="zh-CN" w:bidi="ar"/>
        </w:rPr>
        <w:t>558</w:t>
      </w:r>
      <w:r>
        <w:rPr>
          <w:rFonts w:ascii="Times New Roman" w:hAnsi="Times New Roman" w:eastAsia="方正仿宋_GBK"/>
          <w:color w:val="auto"/>
          <w:kern w:val="0"/>
          <w:sz w:val="32"/>
          <w:szCs w:val="32"/>
          <w:lang w:bidi="ar"/>
        </w:rPr>
        <w:t>条，推送微信公众号图文信</w:t>
      </w:r>
      <w:r>
        <w:rPr>
          <w:rFonts w:ascii="Times New Roman" w:hAnsi="Times New Roman" w:eastAsia="方正仿宋_GBK"/>
          <w:color w:val="auto"/>
          <w:kern w:val="0"/>
          <w:sz w:val="32"/>
          <w:szCs w:val="32"/>
          <w:highlight w:val="none"/>
          <w:lang w:bidi="ar"/>
        </w:rPr>
        <w:t>息</w:t>
      </w:r>
      <w:r>
        <w:rPr>
          <w:rFonts w:hint="eastAsia" w:ascii="Times New Roman" w:hAnsi="Times New Roman" w:eastAsia="方正仿宋_GBK"/>
          <w:color w:val="auto"/>
          <w:kern w:val="0"/>
          <w:sz w:val="32"/>
          <w:szCs w:val="32"/>
          <w:highlight w:val="none"/>
          <w:lang w:val="en-US" w:eastAsia="zh-CN" w:bidi="ar"/>
        </w:rPr>
        <w:t>753</w:t>
      </w:r>
      <w:r>
        <w:rPr>
          <w:rFonts w:ascii="Times New Roman" w:hAnsi="Times New Roman" w:eastAsia="方正仿宋_GBK"/>
          <w:color w:val="auto"/>
          <w:kern w:val="0"/>
          <w:sz w:val="32"/>
          <w:szCs w:val="32"/>
          <w:highlight w:val="none"/>
          <w:lang w:bidi="ar"/>
        </w:rPr>
        <w:t>条</w:t>
      </w:r>
      <w:r>
        <w:rPr>
          <w:rFonts w:hint="eastAsia" w:ascii="Times New Roman" w:hAnsi="Times New Roman" w:eastAsia="方正仿宋_GBK"/>
          <w:color w:val="auto"/>
          <w:kern w:val="0"/>
          <w:sz w:val="32"/>
          <w:szCs w:val="32"/>
          <w:highlight w:val="none"/>
          <w:lang w:eastAsia="zh-CN" w:bidi="ar"/>
        </w:rPr>
        <w:t>，通过</w:t>
      </w:r>
      <w:r>
        <w:rPr>
          <w:rFonts w:hint="eastAsia" w:ascii="Times New Roman" w:hAnsi="Times New Roman" w:eastAsia="方正仿宋_GBK"/>
          <w:color w:val="auto"/>
          <w:kern w:val="0"/>
          <w:sz w:val="32"/>
          <w:szCs w:val="32"/>
          <w:lang w:bidi="ar"/>
        </w:rPr>
        <w:t>国家企业信用信息公示系统</w:t>
      </w:r>
      <w:r>
        <w:rPr>
          <w:rFonts w:hint="eastAsia" w:ascii="Times New Roman" w:hAnsi="Times New Roman" w:eastAsia="方正仿宋_GBK"/>
          <w:color w:val="auto"/>
          <w:kern w:val="0"/>
          <w:sz w:val="32"/>
          <w:szCs w:val="32"/>
          <w:lang w:eastAsia="zh-CN" w:bidi="ar"/>
        </w:rPr>
        <w:t>、</w:t>
      </w:r>
      <w:r>
        <w:rPr>
          <w:rFonts w:hint="eastAsia" w:ascii="Times New Roman" w:hAnsi="Times New Roman" w:eastAsia="方正仿宋_GBK" w:cs="Times New Roman"/>
          <w:color w:val="auto"/>
          <w:kern w:val="0"/>
          <w:sz w:val="32"/>
          <w:szCs w:val="32"/>
          <w:lang w:eastAsia="zh-CN" w:bidi="ar"/>
        </w:rPr>
        <w:t>“</w:t>
      </w:r>
      <w:r>
        <w:rPr>
          <w:rFonts w:ascii="Times New Roman" w:hAnsi="Times New Roman" w:eastAsia="方正仿宋_GBK" w:cs="Times New Roman"/>
          <w:color w:val="auto"/>
          <w:kern w:val="0"/>
          <w:sz w:val="32"/>
          <w:szCs w:val="32"/>
          <w:lang w:bidi="ar"/>
        </w:rPr>
        <w:t>信用南通</w:t>
      </w:r>
      <w:r>
        <w:rPr>
          <w:rFonts w:hint="eastAsia" w:ascii="Times New Roman" w:hAnsi="Times New Roman" w:eastAsia="方正仿宋_GBK" w:cs="Times New Roman"/>
          <w:color w:val="auto"/>
          <w:kern w:val="0"/>
          <w:sz w:val="32"/>
          <w:szCs w:val="32"/>
          <w:lang w:eastAsia="zh-CN" w:bidi="ar"/>
        </w:rPr>
        <w:t>”网站</w:t>
      </w:r>
      <w:r>
        <w:rPr>
          <w:rFonts w:ascii="Times New Roman" w:hAnsi="Times New Roman" w:eastAsia="方正仿宋_GBK" w:cs="Times New Roman"/>
          <w:color w:val="auto"/>
          <w:kern w:val="0"/>
          <w:sz w:val="32"/>
          <w:szCs w:val="32"/>
          <w:lang w:bidi="ar"/>
        </w:rPr>
        <w:t>公示行政处罚信</w:t>
      </w:r>
      <w:r>
        <w:rPr>
          <w:rFonts w:ascii="Times New Roman" w:hAnsi="Times New Roman" w:eastAsia="方正仿宋_GBK"/>
          <w:color w:val="auto"/>
          <w:kern w:val="0"/>
          <w:sz w:val="32"/>
          <w:szCs w:val="32"/>
          <w:highlight w:val="none"/>
          <w:lang w:bidi="ar"/>
        </w:rPr>
        <w:t>息</w:t>
      </w:r>
      <w:r>
        <w:rPr>
          <w:rFonts w:hint="eastAsia" w:ascii="Times New Roman" w:hAnsi="Times New Roman" w:eastAsia="方正仿宋_GBK"/>
          <w:color w:val="auto"/>
          <w:kern w:val="0"/>
          <w:sz w:val="32"/>
          <w:szCs w:val="32"/>
          <w:highlight w:val="none"/>
          <w:lang w:val="en-US" w:eastAsia="zh-CN" w:bidi="ar"/>
        </w:rPr>
        <w:t>1031</w:t>
      </w:r>
      <w:r>
        <w:rPr>
          <w:rFonts w:ascii="Times New Roman" w:hAnsi="Times New Roman" w:eastAsia="方正仿宋_GBK"/>
          <w:color w:val="auto"/>
          <w:kern w:val="0"/>
          <w:sz w:val="32"/>
          <w:szCs w:val="32"/>
          <w:highlight w:val="none"/>
          <w:lang w:bidi="ar"/>
        </w:rPr>
        <w:t>条</w:t>
      </w:r>
      <w:r>
        <w:rPr>
          <w:rFonts w:ascii="Times New Roman" w:hAnsi="Times New Roman" w:eastAsia="方正仿宋_GBK"/>
          <w:color w:val="auto"/>
          <w:kern w:val="0"/>
          <w:sz w:val="32"/>
          <w:szCs w:val="32"/>
          <w:lang w:bidi="ar"/>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ascii="Times New Roman" w:hAnsi="Times New Roman" w:eastAsia="方正仿宋_GBK"/>
          <w:color w:val="0000FF"/>
          <w:sz w:val="32"/>
          <w:szCs w:val="32"/>
        </w:rPr>
      </w:pPr>
      <w:r>
        <w:rPr>
          <w:rFonts w:hint="eastAsia" w:ascii="Times New Roman" w:hAnsi="Times New Roman" w:eastAsia="楷体" w:cs="楷体"/>
          <w:color w:val="auto"/>
          <w:sz w:val="32"/>
          <w:szCs w:val="32"/>
          <w:lang w:val="en-US" w:eastAsia="zh-CN"/>
        </w:rPr>
        <w:t>2</w:t>
      </w:r>
      <w:r>
        <w:rPr>
          <w:rFonts w:hint="eastAsia" w:ascii="Times New Roman" w:hAnsi="Times New Roman" w:eastAsia="楷体" w:cs="楷体"/>
          <w:color w:val="auto"/>
          <w:sz w:val="32"/>
          <w:szCs w:val="32"/>
        </w:rPr>
        <w:t>.依申请公开办理情况。</w:t>
      </w:r>
      <w:r>
        <w:rPr>
          <w:rFonts w:ascii="Times New Roman" w:hAnsi="Times New Roman" w:eastAsia="方正仿宋_GBK"/>
          <w:color w:val="auto"/>
          <w:kern w:val="0"/>
          <w:sz w:val="32"/>
          <w:szCs w:val="32"/>
          <w:lang w:bidi="ar"/>
        </w:rPr>
        <w:t>202</w:t>
      </w:r>
      <w:r>
        <w:rPr>
          <w:rFonts w:hint="eastAsia" w:ascii="Times New Roman" w:hAnsi="Times New Roman" w:eastAsia="方正仿宋_GBK"/>
          <w:color w:val="auto"/>
          <w:kern w:val="0"/>
          <w:sz w:val="32"/>
          <w:szCs w:val="32"/>
          <w:lang w:val="en-US" w:eastAsia="zh-CN" w:bidi="ar"/>
        </w:rPr>
        <w:t>3</w:t>
      </w:r>
      <w:r>
        <w:rPr>
          <w:rFonts w:ascii="Times New Roman" w:hAnsi="Times New Roman" w:eastAsia="方正仿宋_GBK"/>
          <w:color w:val="auto"/>
          <w:kern w:val="0"/>
          <w:sz w:val="32"/>
          <w:szCs w:val="32"/>
          <w:lang w:bidi="ar"/>
        </w:rPr>
        <w:t>年收到要求公开信息的</w:t>
      </w:r>
      <w:r>
        <w:rPr>
          <w:rFonts w:ascii="Times New Roman" w:hAnsi="Times New Roman" w:eastAsia="方正仿宋_GBK"/>
          <w:color w:val="auto"/>
          <w:kern w:val="0"/>
          <w:sz w:val="32"/>
          <w:szCs w:val="32"/>
          <w:highlight w:val="none"/>
          <w:lang w:bidi="ar"/>
        </w:rPr>
        <w:t>申请</w:t>
      </w:r>
      <w:r>
        <w:rPr>
          <w:rFonts w:hint="eastAsia" w:ascii="Times New Roman" w:hAnsi="Times New Roman" w:eastAsia="方正仿宋_GBK"/>
          <w:color w:val="auto"/>
          <w:kern w:val="0"/>
          <w:sz w:val="32"/>
          <w:szCs w:val="32"/>
          <w:highlight w:val="none"/>
          <w:lang w:val="en-US" w:eastAsia="zh-CN" w:bidi="ar"/>
        </w:rPr>
        <w:t>11</w:t>
      </w:r>
      <w:r>
        <w:rPr>
          <w:rFonts w:ascii="Times New Roman" w:hAnsi="Times New Roman" w:eastAsia="方正仿宋_GBK"/>
          <w:color w:val="auto"/>
          <w:kern w:val="0"/>
          <w:sz w:val="32"/>
          <w:szCs w:val="32"/>
          <w:highlight w:val="none"/>
          <w:lang w:bidi="ar"/>
        </w:rPr>
        <w:t>件，均已</w:t>
      </w:r>
      <w:r>
        <w:rPr>
          <w:rFonts w:hint="eastAsia" w:ascii="Times New Roman" w:hAnsi="Times New Roman" w:eastAsia="方正仿宋_GBK"/>
          <w:color w:val="auto"/>
          <w:kern w:val="0"/>
          <w:sz w:val="32"/>
          <w:szCs w:val="32"/>
          <w:highlight w:val="none"/>
          <w:lang w:eastAsia="zh-CN" w:bidi="ar"/>
        </w:rPr>
        <w:t>办理</w:t>
      </w:r>
      <w:r>
        <w:rPr>
          <w:rFonts w:ascii="Times New Roman" w:hAnsi="Times New Roman" w:eastAsia="方正仿宋_GBK"/>
          <w:color w:val="auto"/>
          <w:kern w:val="0"/>
          <w:sz w:val="32"/>
          <w:szCs w:val="32"/>
          <w:lang w:bidi="ar"/>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ascii="Times New Roman" w:hAnsi="Times New Roman" w:eastAsia="方正仿宋_GBK"/>
          <w:color w:val="auto"/>
          <w:sz w:val="32"/>
          <w:szCs w:val="32"/>
        </w:rPr>
      </w:pPr>
      <w:r>
        <w:rPr>
          <w:rFonts w:hint="eastAsia" w:ascii="Times New Roman" w:hAnsi="Times New Roman" w:eastAsia="楷体" w:cs="楷体"/>
          <w:color w:val="auto"/>
          <w:sz w:val="32"/>
          <w:szCs w:val="32"/>
          <w:lang w:val="en-US" w:eastAsia="zh-CN"/>
        </w:rPr>
        <w:t>3</w:t>
      </w:r>
      <w:r>
        <w:rPr>
          <w:rFonts w:hint="eastAsia" w:ascii="Times New Roman" w:hAnsi="Times New Roman" w:eastAsia="楷体" w:cs="楷体"/>
          <w:color w:val="auto"/>
          <w:sz w:val="32"/>
          <w:szCs w:val="32"/>
        </w:rPr>
        <w:t>.政府信息资源管理情况。</w:t>
      </w:r>
      <w:r>
        <w:rPr>
          <w:rFonts w:ascii="Times New Roman" w:hAnsi="Times New Roman" w:eastAsia="方正仿宋_GBK"/>
          <w:color w:val="auto"/>
          <w:sz w:val="32"/>
          <w:szCs w:val="32"/>
        </w:rPr>
        <w:t>建立健全政府信息主动公开、依申请公开和信息保密审查等工作制度，完善了拟稿科室、初级审查、专业审查、符合审查四级审核制度。认真执行责任追究制度，把政府信息公开工作纳入全年目标任务分解和落实党风廉政建设责任制的重要内容进行考核，保证信息公开工作规范有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olor w:val="auto"/>
          <w:sz w:val="32"/>
          <w:szCs w:val="32"/>
        </w:rPr>
      </w:pPr>
      <w:r>
        <w:rPr>
          <w:rFonts w:hint="eastAsia" w:ascii="Times New Roman" w:hAnsi="Times New Roman" w:eastAsia="楷体" w:cs="楷体"/>
          <w:color w:val="auto"/>
          <w:sz w:val="32"/>
          <w:szCs w:val="32"/>
          <w:lang w:val="en-US" w:eastAsia="zh-CN"/>
        </w:rPr>
        <w:t>4</w:t>
      </w:r>
      <w:r>
        <w:rPr>
          <w:rFonts w:hint="eastAsia" w:ascii="Times New Roman" w:hAnsi="Times New Roman" w:eastAsia="楷体" w:cs="楷体"/>
          <w:color w:val="auto"/>
          <w:sz w:val="32"/>
          <w:szCs w:val="32"/>
        </w:rPr>
        <w:t>.政府信息公开平台建设情况。</w:t>
      </w:r>
      <w:r>
        <w:rPr>
          <w:rFonts w:ascii="Times New Roman" w:hAnsi="Times New Roman" w:eastAsia="方正仿宋_GBK"/>
          <w:color w:val="auto"/>
          <w:sz w:val="32"/>
          <w:szCs w:val="32"/>
        </w:rPr>
        <w:t>在政务服务网公开权力事项和服务事项目录清单，完善事项指南。加强</w:t>
      </w:r>
      <w:r>
        <w:rPr>
          <w:rFonts w:hint="eastAsia" w:ascii="Times New Roman" w:hAnsi="Times New Roman" w:eastAsia="方正仿宋_GBK"/>
          <w:color w:val="auto"/>
          <w:sz w:val="32"/>
          <w:szCs w:val="32"/>
          <w:lang w:eastAsia="zh-CN"/>
        </w:rPr>
        <w:t>“</w:t>
      </w:r>
      <w:r>
        <w:rPr>
          <w:rFonts w:ascii="Times New Roman" w:hAnsi="Times New Roman" w:eastAsia="方正仿宋_GBK"/>
          <w:color w:val="auto"/>
          <w:sz w:val="32"/>
          <w:szCs w:val="32"/>
        </w:rPr>
        <w:t>通州区市场监督管理局</w:t>
      </w:r>
      <w:r>
        <w:rPr>
          <w:rFonts w:hint="eastAsia" w:ascii="Times New Roman" w:hAnsi="Times New Roman" w:eastAsia="方正仿宋_GBK"/>
          <w:color w:val="auto"/>
          <w:sz w:val="32"/>
          <w:szCs w:val="32"/>
          <w:lang w:eastAsia="zh-CN"/>
        </w:rPr>
        <w:t>”微信订阅号</w:t>
      </w:r>
      <w:r>
        <w:rPr>
          <w:rFonts w:ascii="Times New Roman" w:hAnsi="Times New Roman" w:eastAsia="方正仿宋_GBK"/>
          <w:color w:val="auto"/>
          <w:sz w:val="32"/>
          <w:szCs w:val="32"/>
        </w:rPr>
        <w:t>建设，做好</w:t>
      </w:r>
      <w:r>
        <w:rPr>
          <w:rFonts w:hint="eastAsia" w:ascii="Times New Roman" w:hAnsi="Times New Roman" w:eastAsia="方正仿宋_GBK"/>
          <w:color w:val="auto"/>
          <w:sz w:val="32"/>
          <w:szCs w:val="32"/>
          <w:lang w:eastAsia="zh-CN"/>
        </w:rPr>
        <w:t>各类</w:t>
      </w:r>
      <w:r>
        <w:rPr>
          <w:rFonts w:ascii="Times New Roman" w:hAnsi="Times New Roman" w:eastAsia="方正仿宋_GBK"/>
          <w:color w:val="auto"/>
          <w:sz w:val="32"/>
          <w:szCs w:val="32"/>
        </w:rPr>
        <w:t>信息发布，</w:t>
      </w:r>
      <w:r>
        <w:rPr>
          <w:rFonts w:hint="eastAsia" w:ascii="Times New Roman" w:hAnsi="Times New Roman" w:eastAsia="方正仿宋_GBK"/>
          <w:color w:val="auto"/>
          <w:sz w:val="32"/>
          <w:szCs w:val="32"/>
          <w:lang w:eastAsia="zh-CN"/>
        </w:rPr>
        <w:t>后台</w:t>
      </w:r>
      <w:r>
        <w:rPr>
          <w:rFonts w:ascii="Times New Roman" w:hAnsi="Times New Roman" w:eastAsia="方正仿宋_GBK"/>
          <w:color w:val="auto"/>
          <w:sz w:val="32"/>
          <w:szCs w:val="32"/>
        </w:rPr>
        <w:t>问题回复等工作。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仿宋_GBK" w:eastAsia="方正仿宋_GBK" w:cs="方正仿宋_GBK"/>
          <w:sz w:val="32"/>
          <w:szCs w:val="32"/>
        </w:rPr>
      </w:pPr>
      <w:r>
        <w:rPr>
          <w:rFonts w:hint="eastAsia" w:ascii="Times New Roman" w:hAnsi="Times New Roman" w:eastAsia="楷体" w:cs="楷体"/>
          <w:color w:val="auto"/>
          <w:sz w:val="32"/>
          <w:szCs w:val="32"/>
          <w:lang w:val="en-US" w:eastAsia="zh-CN"/>
        </w:rPr>
        <w:t>5</w:t>
      </w:r>
      <w:r>
        <w:rPr>
          <w:rFonts w:hint="eastAsia" w:ascii="Times New Roman" w:hAnsi="Times New Roman" w:eastAsia="楷体" w:cs="楷体"/>
          <w:color w:val="auto"/>
          <w:sz w:val="32"/>
          <w:szCs w:val="32"/>
        </w:rPr>
        <w:t>.政府信息公开监督保障情况。</w:t>
      </w:r>
      <w:r>
        <w:rPr>
          <w:rFonts w:ascii="Times New Roman" w:hAnsi="Times New Roman" w:eastAsia="方正仿宋_GBK"/>
          <w:color w:val="auto"/>
          <w:sz w:val="32"/>
          <w:szCs w:val="32"/>
        </w:rPr>
        <w:t>加强对信息工作的检查指导，确保信息公开规范有序进行。我局将信息公开纳入日常工作目标管理，对公开数量、内容和时效性开展自查，发现问题立即整改，不断提高信息公开工作的质效。对拟</w:t>
      </w:r>
      <w:r>
        <w:rPr>
          <w:rFonts w:hint="eastAsia" w:ascii="Times New Roman" w:hAnsi="Times New Roman" w:eastAsia="方正仿宋_GBK"/>
          <w:color w:val="auto"/>
          <w:sz w:val="32"/>
          <w:szCs w:val="32"/>
          <w:lang w:eastAsia="zh-CN"/>
        </w:rPr>
        <w:t>予以</w:t>
      </w:r>
      <w:bookmarkStart w:id="0" w:name="_GoBack"/>
      <w:bookmarkEnd w:id="0"/>
      <w:r>
        <w:rPr>
          <w:rFonts w:ascii="Times New Roman" w:hAnsi="Times New Roman" w:eastAsia="方正仿宋_GBK"/>
          <w:color w:val="auto"/>
          <w:sz w:val="32"/>
          <w:szCs w:val="32"/>
        </w:rPr>
        <w:t>公开的内容在公开前经过审议小组审议，确保公开内容的真实可靠。在</w:t>
      </w:r>
      <w:r>
        <w:rPr>
          <w:rFonts w:hint="eastAsia" w:ascii="Times New Roman" w:hAnsi="Times New Roman" w:eastAsia="方正仿宋_GBK"/>
          <w:color w:val="auto"/>
          <w:sz w:val="32"/>
          <w:szCs w:val="32"/>
          <w:lang w:eastAsia="zh-CN"/>
        </w:rPr>
        <w:t>局</w:t>
      </w:r>
      <w:r>
        <w:rPr>
          <w:rFonts w:ascii="Times New Roman" w:hAnsi="Times New Roman" w:eastAsia="方正仿宋_GBK"/>
          <w:color w:val="auto"/>
          <w:sz w:val="32"/>
          <w:szCs w:val="32"/>
        </w:rPr>
        <w:t>大楼门口设立信息公开监督信箱和举报电话，接受群众投诉，加强</w:t>
      </w:r>
      <w:r>
        <w:rPr>
          <w:rFonts w:hint="eastAsia" w:ascii="Times New Roman" w:hAnsi="Times New Roman" w:eastAsia="方正仿宋_GBK"/>
          <w:color w:val="auto"/>
          <w:sz w:val="32"/>
          <w:szCs w:val="32"/>
          <w:lang w:eastAsia="zh-CN"/>
        </w:rPr>
        <w:t>社会各界对</w:t>
      </w:r>
      <w:r>
        <w:rPr>
          <w:rFonts w:ascii="Times New Roman" w:hAnsi="Times New Roman" w:eastAsia="方正仿宋_GBK"/>
          <w:color w:val="auto"/>
          <w:sz w:val="32"/>
          <w:szCs w:val="32"/>
        </w:rPr>
        <w:t>信息公开的监督。</w:t>
      </w:r>
    </w:p>
    <w:p>
      <w:pPr>
        <w:ind w:firstLine="640" w:firstLineChars="200"/>
        <w:rPr>
          <w:rFonts w:ascii="方正黑体_GBK" w:eastAsia="方正黑体_GBK" w:cs="方正黑体_GBK"/>
          <w:sz w:val="32"/>
          <w:szCs w:val="32"/>
        </w:rPr>
      </w:pPr>
      <w:r>
        <w:rPr>
          <w:rFonts w:hint="eastAsia" w:ascii="方正黑体_GBK" w:eastAsia="方正黑体_GBK" w:cs="方正黑体_GBK"/>
          <w:sz w:val="32"/>
          <w:szCs w:val="32"/>
        </w:rPr>
        <w:t>二、主动公开政府信息情况</w:t>
      </w:r>
    </w:p>
    <w:tbl>
      <w:tblPr>
        <w:tblStyle w:val="5"/>
        <w:tblW w:w="81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13"/>
        <w:gridCol w:w="1875"/>
        <w:gridCol w:w="1477"/>
        <w:gridCol w:w="16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jc w:val="center"/>
        </w:trPr>
        <w:tc>
          <w:tcPr>
            <w:tcW w:w="8140"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color w:val="000000"/>
                <w:kern w:val="0"/>
                <w:sz w:val="20"/>
                <w:szCs w:val="20"/>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left w:w="108" w:type="dxa"/>
              <w:right w:w="108" w:type="dxa"/>
            </w:tcMar>
            <w:vAlign w:val="center"/>
          </w:tcPr>
          <w:p>
            <w:pPr>
              <w:widowControl/>
              <w:jc w:val="center"/>
              <w:rPr>
                <w:rFonts w:hint="eastAsia" w:ascii="宋体" w:eastAsia="宋体" w:cs="宋体"/>
                <w:kern w:val="0"/>
                <w:sz w:val="24"/>
                <w:szCs w:val="24"/>
                <w:lang w:eastAsia="zh-CN"/>
              </w:rPr>
            </w:pPr>
            <w:r>
              <w:rPr>
                <w:rFonts w:hint="eastAsia" w:ascii="宋体" w:eastAsia="宋体" w:cs="宋体"/>
                <w:color w:val="000000"/>
                <w:kern w:val="0"/>
                <w:sz w:val="20"/>
                <w:szCs w:val="20"/>
              </w:rPr>
              <w:t>本年</w:t>
            </w:r>
            <w:r>
              <w:rPr>
                <w:rFonts w:hint="eastAsia" w:ascii="宋体" w:cs="宋体"/>
                <w:color w:val="000000"/>
                <w:kern w:val="0"/>
                <w:sz w:val="20"/>
                <w:szCs w:val="20"/>
                <w:lang w:eastAsia="zh-CN"/>
              </w:rPr>
              <w:t>制发件数</w:t>
            </w:r>
          </w:p>
        </w:tc>
        <w:tc>
          <w:tcPr>
            <w:tcW w:w="1477"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hint="eastAsia" w:ascii="宋体" w:eastAsia="宋体" w:cs="宋体"/>
                <w:kern w:val="0"/>
                <w:sz w:val="24"/>
                <w:szCs w:val="24"/>
                <w:lang w:eastAsia="zh-CN"/>
              </w:rPr>
            </w:pPr>
            <w:r>
              <w:rPr>
                <w:rFonts w:hint="eastAsia" w:ascii="宋体" w:eastAsia="宋体" w:cs="宋体"/>
                <w:color w:val="000000"/>
                <w:kern w:val="0"/>
                <w:sz w:val="20"/>
                <w:szCs w:val="20"/>
              </w:rPr>
              <w:t>本年</w:t>
            </w:r>
            <w:r>
              <w:rPr>
                <w:rFonts w:hint="eastAsia" w:ascii="宋体" w:cs="宋体"/>
                <w:color w:val="000000"/>
                <w:kern w:val="0"/>
                <w:sz w:val="20"/>
                <w:szCs w:val="20"/>
                <w:lang w:eastAsia="zh-CN"/>
              </w:rPr>
              <w:t>废止件数</w:t>
            </w:r>
          </w:p>
        </w:tc>
        <w:tc>
          <w:tcPr>
            <w:tcW w:w="1675" w:type="dxa"/>
            <w:tcBorders>
              <w:top w:val="nil"/>
              <w:left w:val="nil"/>
              <w:bottom w:val="single" w:color="auto" w:sz="8" w:space="0"/>
              <w:right w:val="single" w:color="auto" w:sz="8" w:space="0"/>
            </w:tcBorders>
            <w:noWrap/>
            <w:tcMar>
              <w:left w:w="108" w:type="dxa"/>
              <w:right w:w="108" w:type="dxa"/>
            </w:tcMar>
            <w:vAlign w:val="center"/>
          </w:tcPr>
          <w:p>
            <w:pPr>
              <w:widowControl/>
              <w:jc w:val="center"/>
              <w:rPr>
                <w:rFonts w:hint="eastAsia" w:ascii="宋体" w:eastAsia="宋体" w:cs="宋体"/>
                <w:kern w:val="0"/>
                <w:sz w:val="24"/>
                <w:szCs w:val="24"/>
                <w:lang w:eastAsia="zh-CN"/>
              </w:rPr>
            </w:pPr>
            <w:r>
              <w:rPr>
                <w:rFonts w:hint="eastAsia" w:ascii="宋体" w:cs="宋体"/>
                <w:color w:val="000000"/>
                <w:kern w:val="0"/>
                <w:sz w:val="20"/>
                <w:szCs w:val="20"/>
                <w:lang w:eastAsia="zh-CN"/>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left"/>
              <w:rPr>
                <w:rFonts w:ascii="宋体" w:eastAsia="宋体" w:cs="宋体"/>
                <w:kern w:val="0"/>
                <w:sz w:val="24"/>
                <w:szCs w:val="24"/>
              </w:rPr>
            </w:pPr>
            <w:r>
              <w:rPr>
                <w:rFonts w:hint="eastAsia" w:ascii="宋体" w:eastAsia="宋体" w:cs="宋体"/>
                <w:color w:val="000000"/>
                <w:kern w:val="0"/>
                <w:sz w:val="20"/>
                <w:szCs w:val="20"/>
              </w:rPr>
              <w:t>规章</w:t>
            </w:r>
          </w:p>
        </w:tc>
        <w:tc>
          <w:tcPr>
            <w:tcW w:w="1875" w:type="dxa"/>
            <w:tcBorders>
              <w:top w:val="nil"/>
              <w:left w:val="nil"/>
              <w:bottom w:val="single" w:color="auto" w:sz="8" w:space="0"/>
              <w:right w:val="single" w:color="auto" w:sz="8" w:space="0"/>
            </w:tcBorders>
            <w:noWrap/>
            <w:tcMar>
              <w:left w:w="108" w:type="dxa"/>
              <w:right w:w="108" w:type="dxa"/>
            </w:tcMar>
            <w:vAlign w:val="center"/>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1477"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1675" w:type="dxa"/>
            <w:tcBorders>
              <w:top w:val="nil"/>
              <w:left w:val="nil"/>
              <w:bottom w:val="single" w:color="auto" w:sz="8" w:space="0"/>
              <w:right w:val="single" w:color="auto" w:sz="8" w:space="0"/>
            </w:tcBorders>
            <w:noWrap/>
            <w:tcMar>
              <w:left w:w="108" w:type="dxa"/>
              <w:right w:w="108" w:type="dxa"/>
            </w:tcMar>
            <w:vAlign w:val="center"/>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left"/>
              <w:rPr>
                <w:rFonts w:ascii="宋体" w:eastAsia="宋体" w:cs="宋体"/>
                <w:kern w:val="0"/>
                <w:sz w:val="24"/>
                <w:szCs w:val="24"/>
              </w:rPr>
            </w:pPr>
            <w:r>
              <w:rPr>
                <w:rFonts w:hint="eastAsia" w:ascii="宋体" w:cs="宋体"/>
                <w:color w:val="000000"/>
                <w:kern w:val="0"/>
                <w:sz w:val="20"/>
                <w:szCs w:val="20"/>
                <w:lang w:eastAsia="zh-CN"/>
              </w:rPr>
              <w:t>行政</w:t>
            </w:r>
            <w:r>
              <w:rPr>
                <w:rFonts w:hint="eastAsia" w:ascii="宋体" w:eastAsia="宋体" w:cs="宋体"/>
                <w:color w:val="000000"/>
                <w:kern w:val="0"/>
                <w:sz w:val="20"/>
                <w:szCs w:val="20"/>
              </w:rPr>
              <w:t>规范性文件</w:t>
            </w:r>
          </w:p>
        </w:tc>
        <w:tc>
          <w:tcPr>
            <w:tcW w:w="1875" w:type="dxa"/>
            <w:tcBorders>
              <w:top w:val="nil"/>
              <w:left w:val="nil"/>
              <w:bottom w:val="single" w:color="auto" w:sz="8" w:space="0"/>
              <w:right w:val="single" w:color="auto" w:sz="8" w:space="0"/>
            </w:tcBorders>
            <w:noWrap/>
            <w:tcMar>
              <w:left w:w="108" w:type="dxa"/>
              <w:right w:w="108" w:type="dxa"/>
            </w:tcMar>
            <w:vAlign w:val="center"/>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1477"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c>
          <w:tcPr>
            <w:tcW w:w="1675" w:type="dxa"/>
            <w:tcBorders>
              <w:top w:val="nil"/>
              <w:left w:val="nil"/>
              <w:bottom w:val="single" w:color="auto" w:sz="8" w:space="0"/>
              <w:right w:val="single" w:color="auto" w:sz="8" w:space="0"/>
            </w:tcBorders>
            <w:noWrap/>
            <w:tcMar>
              <w:left w:w="108" w:type="dxa"/>
              <w:right w:w="108" w:type="dxa"/>
            </w:tcMar>
            <w:vAlign w:val="center"/>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color w:val="000000"/>
                <w:kern w:val="0"/>
                <w:sz w:val="20"/>
                <w:szCs w:val="20"/>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color w:val="000000"/>
                <w:kern w:val="0"/>
                <w:sz w:val="20"/>
                <w:szCs w:val="20"/>
              </w:rPr>
              <w:t>信息内容</w:t>
            </w:r>
          </w:p>
        </w:tc>
        <w:tc>
          <w:tcPr>
            <w:tcW w:w="5027"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widowControl/>
              <w:jc w:val="center"/>
              <w:rPr>
                <w:rFonts w:ascii="宋体" w:eastAsia="宋体" w:cs="宋体"/>
                <w:kern w:val="0"/>
                <w:sz w:val="24"/>
                <w:szCs w:val="24"/>
              </w:rPr>
            </w:pPr>
            <w:r>
              <w:rPr>
                <w:rFonts w:hint="eastAsia" w:ascii="宋体" w:cs="宋体"/>
                <w:color w:val="000000"/>
                <w:kern w:val="0"/>
                <w:sz w:val="20"/>
                <w:szCs w:val="20"/>
                <w:lang w:eastAsia="zh-CN"/>
              </w:rPr>
              <w:t>本年</w:t>
            </w:r>
            <w:r>
              <w:rPr>
                <w:rFonts w:hint="eastAsia" w:ascii="宋体" w:eastAsia="宋体" w:cs="宋体"/>
                <w:color w:val="000000"/>
                <w:kern w:val="0"/>
                <w:sz w:val="20"/>
                <w:szCs w:val="2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left"/>
              <w:rPr>
                <w:rFonts w:ascii="宋体" w:eastAsia="宋体" w:cs="宋体"/>
                <w:kern w:val="0"/>
                <w:sz w:val="24"/>
                <w:szCs w:val="24"/>
              </w:rPr>
            </w:pPr>
            <w:r>
              <w:rPr>
                <w:rFonts w:hint="eastAsia" w:ascii="宋体" w:eastAsia="宋体" w:cs="宋体"/>
                <w:color w:val="000000"/>
                <w:kern w:val="0"/>
                <w:sz w:val="20"/>
                <w:szCs w:val="20"/>
              </w:rPr>
              <w:t>行政许可</w:t>
            </w:r>
          </w:p>
        </w:tc>
        <w:tc>
          <w:tcPr>
            <w:tcW w:w="5027" w:type="dxa"/>
            <w:gridSpan w:val="3"/>
            <w:tcBorders>
              <w:top w:val="nil"/>
              <w:left w:val="nil"/>
              <w:bottom w:val="single" w:color="auto" w:sz="8" w:space="0"/>
              <w:right w:val="single" w:color="auto" w:sz="8" w:space="0"/>
            </w:tcBorders>
            <w:noWrap/>
            <w:tcMar>
              <w:left w:w="108" w:type="dxa"/>
              <w:right w:w="108" w:type="dxa"/>
            </w:tcMar>
            <w:vAlign w:val="center"/>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2005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color w:val="000000"/>
                <w:kern w:val="0"/>
                <w:sz w:val="20"/>
                <w:szCs w:val="20"/>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9"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color w:val="000000"/>
                <w:kern w:val="0"/>
                <w:sz w:val="20"/>
                <w:szCs w:val="20"/>
              </w:rPr>
              <w:t>信息内容</w:t>
            </w:r>
          </w:p>
        </w:tc>
        <w:tc>
          <w:tcPr>
            <w:tcW w:w="5027"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color w:val="000000"/>
                <w:kern w:val="0"/>
                <w:sz w:val="20"/>
                <w:szCs w:val="20"/>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left"/>
              <w:rPr>
                <w:rFonts w:ascii="宋体" w:eastAsia="宋体" w:cs="宋体"/>
                <w:kern w:val="0"/>
                <w:sz w:val="24"/>
                <w:szCs w:val="24"/>
              </w:rPr>
            </w:pPr>
            <w:r>
              <w:rPr>
                <w:rFonts w:hint="eastAsia" w:ascii="宋体" w:eastAsia="宋体" w:cs="宋体"/>
                <w:color w:val="000000"/>
                <w:kern w:val="0"/>
                <w:sz w:val="20"/>
                <w:szCs w:val="20"/>
              </w:rPr>
              <w:t>行政处罚</w:t>
            </w:r>
          </w:p>
        </w:tc>
        <w:tc>
          <w:tcPr>
            <w:tcW w:w="5027" w:type="dxa"/>
            <w:gridSpan w:val="3"/>
            <w:tcBorders>
              <w:top w:val="nil"/>
              <w:left w:val="nil"/>
              <w:bottom w:val="single" w:color="auto" w:sz="8" w:space="0"/>
              <w:right w:val="single" w:color="auto" w:sz="8" w:space="0"/>
            </w:tcBorders>
            <w:noWrap/>
            <w:tcMar>
              <w:left w:w="108" w:type="dxa"/>
              <w:right w:w="108" w:type="dxa"/>
            </w:tcMar>
            <w:vAlign w:val="center"/>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1208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left"/>
              <w:rPr>
                <w:rFonts w:ascii="宋体" w:eastAsia="宋体" w:cs="宋体"/>
                <w:kern w:val="0"/>
                <w:sz w:val="24"/>
                <w:szCs w:val="24"/>
              </w:rPr>
            </w:pPr>
            <w:r>
              <w:rPr>
                <w:rFonts w:hint="eastAsia" w:ascii="宋体" w:eastAsia="宋体" w:cs="宋体"/>
                <w:color w:val="000000"/>
                <w:kern w:val="0"/>
                <w:sz w:val="20"/>
                <w:szCs w:val="20"/>
              </w:rPr>
              <w:t>行政强制</w:t>
            </w:r>
          </w:p>
        </w:tc>
        <w:tc>
          <w:tcPr>
            <w:tcW w:w="5027" w:type="dxa"/>
            <w:gridSpan w:val="3"/>
            <w:tcBorders>
              <w:top w:val="nil"/>
              <w:left w:val="nil"/>
              <w:bottom w:val="single" w:color="auto" w:sz="8" w:space="0"/>
              <w:right w:val="single" w:color="auto" w:sz="8" w:space="0"/>
            </w:tcBorders>
            <w:noWrap/>
            <w:tcMar>
              <w:left w:w="108" w:type="dxa"/>
              <w:right w:w="108" w:type="dxa"/>
            </w:tcMar>
            <w:vAlign w:val="center"/>
          </w:tcPr>
          <w:p>
            <w:pPr>
              <w:widowControl/>
              <w:jc w:val="center"/>
              <w:rPr>
                <w:rFonts w:hint="default"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4"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color w:val="000000"/>
                <w:kern w:val="0"/>
                <w:sz w:val="20"/>
                <w:szCs w:val="20"/>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color w:val="000000"/>
                <w:kern w:val="0"/>
                <w:sz w:val="20"/>
                <w:szCs w:val="20"/>
              </w:rPr>
              <w:t>信息内容</w:t>
            </w:r>
          </w:p>
        </w:tc>
        <w:tc>
          <w:tcPr>
            <w:tcW w:w="5027" w:type="dxa"/>
            <w:gridSpan w:val="3"/>
            <w:tcBorders>
              <w:top w:val="nil"/>
              <w:left w:val="nil"/>
              <w:bottom w:val="single" w:color="auto" w:sz="8" w:space="0"/>
              <w:right w:val="single" w:color="000000" w:sz="8" w:space="0"/>
            </w:tcBorders>
            <w:noWrap/>
            <w:tcMar>
              <w:left w:w="108" w:type="dxa"/>
              <w:right w:w="108" w:type="dxa"/>
            </w:tcMar>
            <w:vAlign w:val="center"/>
          </w:tcPr>
          <w:p>
            <w:pPr>
              <w:widowControl/>
              <w:jc w:val="center"/>
              <w:rPr>
                <w:rFonts w:hint="eastAsia" w:ascii="宋体" w:eastAsia="宋体" w:cs="宋体"/>
                <w:kern w:val="0"/>
                <w:sz w:val="24"/>
                <w:szCs w:val="24"/>
                <w:lang w:eastAsia="zh-CN"/>
              </w:rPr>
            </w:pPr>
            <w:r>
              <w:rPr>
                <w:rFonts w:hint="eastAsia" w:ascii="宋体" w:cs="宋体"/>
                <w:color w:val="000000"/>
                <w:kern w:val="0"/>
                <w:sz w:val="20"/>
                <w:szCs w:val="20"/>
                <w:lang w:eastAsia="zh-CN"/>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jc w:val="left"/>
              <w:rPr>
                <w:rFonts w:ascii="宋体" w:eastAsia="宋体" w:cs="宋体"/>
                <w:kern w:val="0"/>
                <w:sz w:val="24"/>
                <w:szCs w:val="24"/>
              </w:rPr>
            </w:pPr>
            <w:r>
              <w:rPr>
                <w:rFonts w:hint="eastAsia" w:ascii="宋体" w:eastAsia="宋体" w:cs="宋体"/>
                <w:color w:val="000000"/>
                <w:kern w:val="0"/>
                <w:sz w:val="20"/>
                <w:szCs w:val="20"/>
              </w:rPr>
              <w:t>行政事业性收费</w:t>
            </w:r>
          </w:p>
        </w:tc>
        <w:tc>
          <w:tcPr>
            <w:tcW w:w="5027" w:type="dxa"/>
            <w:gridSpan w:val="3"/>
            <w:tcBorders>
              <w:top w:val="nil"/>
              <w:left w:val="nil"/>
              <w:bottom w:val="single" w:color="auto" w:sz="8" w:space="0"/>
              <w:right w:val="single" w:color="000000" w:sz="8" w:space="0"/>
            </w:tcBorders>
            <w:noWrap/>
            <w:tcMar>
              <w:left w:w="108" w:type="dxa"/>
              <w:right w:w="108" w:type="dxa"/>
            </w:tcMar>
            <w:vAlign w:val="center"/>
          </w:tcPr>
          <w:p>
            <w:pPr>
              <w:widowControl/>
              <w:jc w:val="center"/>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0</w:t>
            </w:r>
          </w:p>
        </w:tc>
      </w:tr>
    </w:tbl>
    <w:p>
      <w:pPr>
        <w:ind w:firstLine="640" w:firstLineChars="200"/>
        <w:rPr>
          <w:rFonts w:ascii="黑体" w:eastAsia="黑体"/>
          <w:sz w:val="32"/>
          <w:szCs w:val="32"/>
        </w:rPr>
      </w:pPr>
      <w:r>
        <w:rPr>
          <w:rFonts w:hint="eastAsia" w:ascii="黑体" w:eastAsia="黑体"/>
          <w:sz w:val="32"/>
          <w:szCs w:val="32"/>
        </w:rPr>
        <w:t>三、收到和处理政府信息公开申请情况</w:t>
      </w:r>
    </w:p>
    <w:tbl>
      <w:tblPr>
        <w:tblStyle w:val="5"/>
        <w:tblW w:w="9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616"/>
        <w:gridCol w:w="816"/>
        <w:gridCol w:w="2271"/>
        <w:gridCol w:w="676"/>
        <w:gridCol w:w="827"/>
        <w:gridCol w:w="828"/>
        <w:gridCol w:w="828"/>
        <w:gridCol w:w="828"/>
        <w:gridCol w:w="828"/>
        <w:gridCol w:w="8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703" w:type="dxa"/>
            <w:gridSpan w:val="3"/>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（本列数据的勾稽关系为：第一项加第二项之和，等于第三项加第四项之和）</w:t>
            </w:r>
          </w:p>
        </w:tc>
        <w:tc>
          <w:tcPr>
            <w:tcW w:w="5643" w:type="dxa"/>
            <w:gridSpan w:val="7"/>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703" w:type="dxa"/>
            <w:gridSpan w:val="3"/>
            <w:vMerge w:val="continue"/>
            <w:tcBorders>
              <w:top w:val="single" w:color="auto" w:sz="8" w:space="0"/>
              <w:left w:val="single" w:color="auto" w:sz="8" w:space="0"/>
              <w:bottom w:val="single" w:color="auto" w:sz="8" w:space="0"/>
              <w:right w:val="single" w:color="auto" w:sz="8" w:space="0"/>
            </w:tcBorders>
            <w:vAlign w:val="center"/>
          </w:tcPr>
          <w:p/>
        </w:tc>
        <w:tc>
          <w:tcPr>
            <w:tcW w:w="676" w:type="dxa"/>
            <w:vMerge w:val="restart"/>
            <w:tcBorders>
              <w:top w:val="nil"/>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自然人</w:t>
            </w:r>
          </w:p>
        </w:tc>
        <w:tc>
          <w:tcPr>
            <w:tcW w:w="4139"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法人或其他组织</w:t>
            </w:r>
          </w:p>
        </w:tc>
        <w:tc>
          <w:tcPr>
            <w:tcW w:w="82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703" w:type="dxa"/>
            <w:gridSpan w:val="3"/>
            <w:vMerge w:val="continue"/>
            <w:tcBorders>
              <w:top w:val="single" w:color="auto" w:sz="8" w:space="0"/>
              <w:left w:val="single" w:color="auto" w:sz="8" w:space="0"/>
              <w:bottom w:val="single" w:color="auto" w:sz="8" w:space="0"/>
              <w:right w:val="single" w:color="auto" w:sz="8" w:space="0"/>
            </w:tcBorders>
            <w:vAlign w:val="center"/>
          </w:tcPr>
          <w:p/>
        </w:tc>
        <w:tc>
          <w:tcPr>
            <w:tcW w:w="676" w:type="dxa"/>
            <w:vMerge w:val="continue"/>
            <w:tcBorders>
              <w:top w:val="nil"/>
              <w:left w:val="nil"/>
              <w:bottom w:val="single" w:color="auto" w:sz="8" w:space="0"/>
              <w:right w:val="single" w:color="auto" w:sz="8" w:space="0"/>
            </w:tcBorders>
            <w:vAlign w:val="center"/>
          </w:tcPr>
          <w:p/>
        </w:tc>
        <w:tc>
          <w:tcPr>
            <w:tcW w:w="827"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商业 企业</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科研 机构</w:t>
            </w:r>
          </w:p>
        </w:tc>
        <w:tc>
          <w:tcPr>
            <w:tcW w:w="828"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社会公益组织</w:t>
            </w:r>
          </w:p>
        </w:tc>
        <w:tc>
          <w:tcPr>
            <w:tcW w:w="828"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法律服务机构</w:t>
            </w:r>
          </w:p>
        </w:tc>
        <w:tc>
          <w:tcPr>
            <w:tcW w:w="828"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其他</w:t>
            </w:r>
          </w:p>
        </w:tc>
        <w:tc>
          <w:tcPr>
            <w:tcW w:w="828" w:type="dxa"/>
            <w:vMerge w:val="continue"/>
            <w:tcBorders>
              <w:top w:val="single" w:color="auto" w:sz="8" w:space="0"/>
              <w:left w:val="nil"/>
              <w:bottom w:val="single" w:color="auto" w:sz="8" w:space="0"/>
              <w:right w:val="single" w:color="auto" w:sz="8" w:space="0"/>
            </w:tcBorders>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703"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jc w:val="left"/>
              <w:rPr>
                <w:rFonts w:ascii="宋体" w:eastAsia="宋体" w:cs="宋体"/>
                <w:kern w:val="0"/>
                <w:sz w:val="24"/>
                <w:szCs w:val="24"/>
              </w:rPr>
            </w:pPr>
            <w:r>
              <w:rPr>
                <w:rFonts w:hint="eastAsia" w:ascii="宋体" w:eastAsia="宋体" w:cs="宋体"/>
                <w:kern w:val="0"/>
                <w:sz w:val="20"/>
                <w:szCs w:val="20"/>
              </w:rPr>
              <w:t>一、本年新收政府信息公开申请数量</w:t>
            </w:r>
          </w:p>
        </w:tc>
        <w:tc>
          <w:tcPr>
            <w:tcW w:w="676"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11</w:t>
            </w:r>
          </w:p>
        </w:tc>
        <w:tc>
          <w:tcPr>
            <w:tcW w:w="827"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703" w:type="dxa"/>
            <w:gridSpan w:val="3"/>
            <w:tcBorders>
              <w:top w:val="nil"/>
              <w:left w:val="single" w:color="auto" w:sz="8" w:space="0"/>
              <w:bottom w:val="single" w:color="auto" w:sz="4" w:space="0"/>
              <w:right w:val="single" w:color="auto" w:sz="8" w:space="0"/>
            </w:tcBorders>
            <w:tcMar>
              <w:left w:w="108" w:type="dxa"/>
              <w:right w:w="108" w:type="dxa"/>
            </w:tcMar>
            <w:vAlign w:val="center"/>
          </w:tcPr>
          <w:p>
            <w:pPr>
              <w:widowControl/>
              <w:jc w:val="left"/>
              <w:rPr>
                <w:rFonts w:ascii="宋体" w:eastAsia="宋体" w:cs="宋体"/>
                <w:kern w:val="0"/>
                <w:sz w:val="24"/>
                <w:szCs w:val="24"/>
              </w:rPr>
            </w:pPr>
            <w:r>
              <w:rPr>
                <w:rFonts w:hint="eastAsia" w:ascii="宋体" w:eastAsia="宋体" w:cs="宋体"/>
                <w:kern w:val="0"/>
                <w:sz w:val="20"/>
                <w:szCs w:val="20"/>
              </w:rPr>
              <w:t>二、上年结转政府信息公开申请数量</w:t>
            </w:r>
          </w:p>
        </w:tc>
        <w:tc>
          <w:tcPr>
            <w:tcW w:w="676" w:type="dxa"/>
            <w:tcBorders>
              <w:top w:val="nil"/>
              <w:left w:val="nil"/>
              <w:bottom w:val="single" w:color="auto" w:sz="4"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7" w:type="dxa"/>
            <w:tcBorders>
              <w:top w:val="nil"/>
              <w:left w:val="nil"/>
              <w:bottom w:val="single" w:color="auto" w:sz="4"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4"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4"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4"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16"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三、本年度办理结果</w:t>
            </w:r>
          </w:p>
        </w:tc>
        <w:tc>
          <w:tcPr>
            <w:tcW w:w="3087"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（一）予以公开</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2</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9" w:hRule="atLeast"/>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3087"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（二）部分公开（区分处理的，只计这一情形，不计其他情形）</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3</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（三）不予公开</w:t>
            </w: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1.属于国家秘密</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8" w:hRule="atLeast"/>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continue"/>
            <w:tcBorders>
              <w:top w:val="single" w:color="auto" w:sz="4" w:space="0"/>
              <w:left w:val="single" w:color="auto" w:sz="4" w:space="0"/>
              <w:bottom w:val="single" w:color="auto" w:sz="4" w:space="0"/>
              <w:right w:val="single" w:color="auto" w:sz="4" w:space="0"/>
            </w:tcBorders>
            <w:vAlign w:val="center"/>
          </w:tc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2.其他法律行政法规禁止公开</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continue"/>
            <w:tcBorders>
              <w:top w:val="single" w:color="auto" w:sz="4" w:space="0"/>
              <w:left w:val="single" w:color="auto" w:sz="4" w:space="0"/>
              <w:bottom w:val="single" w:color="auto" w:sz="4" w:space="0"/>
              <w:right w:val="single" w:color="auto" w:sz="4" w:space="0"/>
            </w:tcBorders>
            <w:vAlign w:val="center"/>
          </w:tc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3.危及“三安全一稳定”</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default"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default"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default"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default"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hint="default"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continue"/>
            <w:tcBorders>
              <w:top w:val="single" w:color="auto" w:sz="4" w:space="0"/>
              <w:left w:val="single" w:color="auto" w:sz="4" w:space="0"/>
              <w:bottom w:val="single" w:color="auto" w:sz="4" w:space="0"/>
              <w:right w:val="single" w:color="auto" w:sz="4" w:space="0"/>
            </w:tcBorders>
            <w:vAlign w:val="center"/>
          </w:tc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4.保护第三方合法权益</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continue"/>
            <w:tcBorders>
              <w:top w:val="single" w:color="auto" w:sz="4" w:space="0"/>
              <w:left w:val="single" w:color="auto" w:sz="4" w:space="0"/>
              <w:bottom w:val="single" w:color="auto" w:sz="4" w:space="0"/>
              <w:right w:val="single" w:color="auto" w:sz="4" w:space="0"/>
            </w:tcBorders>
            <w:vAlign w:val="center"/>
          </w:tc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5.属于三类内部事务信息</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continue"/>
            <w:tcBorders>
              <w:top w:val="single" w:color="auto" w:sz="4" w:space="0"/>
              <w:left w:val="single" w:color="auto" w:sz="4" w:space="0"/>
              <w:bottom w:val="single" w:color="auto" w:sz="4" w:space="0"/>
              <w:right w:val="single" w:color="auto" w:sz="4" w:space="0"/>
            </w:tcBorders>
            <w:vAlign w:val="center"/>
          </w:tc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6.属于四类过程性信息</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continue"/>
            <w:tcBorders>
              <w:top w:val="single" w:color="auto" w:sz="4" w:space="0"/>
              <w:left w:val="single" w:color="auto" w:sz="4" w:space="0"/>
              <w:bottom w:val="single" w:color="auto" w:sz="4" w:space="0"/>
              <w:right w:val="single" w:color="auto" w:sz="4" w:space="0"/>
            </w:tcBorders>
            <w:vAlign w:val="center"/>
          </w:tc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7.属于行政执法案卷</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continue"/>
            <w:tcBorders>
              <w:top w:val="single" w:color="auto" w:sz="4" w:space="0"/>
              <w:left w:val="single" w:color="auto" w:sz="4" w:space="0"/>
              <w:bottom w:val="single" w:color="auto" w:sz="4" w:space="0"/>
              <w:right w:val="single" w:color="auto" w:sz="4" w:space="0"/>
            </w:tcBorders>
            <w:vAlign w:val="center"/>
          </w:tc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8.属于行政查询事项</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（四）无法提供</w:t>
            </w: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1.本机关不掌握相关政府信息</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5</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continue"/>
            <w:tcBorders>
              <w:top w:val="single" w:color="auto" w:sz="4" w:space="0"/>
              <w:left w:val="single" w:color="auto" w:sz="4" w:space="0"/>
              <w:bottom w:val="single" w:color="auto" w:sz="4" w:space="0"/>
              <w:right w:val="single" w:color="auto" w:sz="4" w:space="0"/>
            </w:tcBorders>
            <w:vAlign w:val="center"/>
          </w:tc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2.没有现成信息需要另行制作</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continue"/>
            <w:tcBorders>
              <w:top w:val="single" w:color="auto" w:sz="4" w:space="0"/>
              <w:left w:val="single" w:color="auto" w:sz="4" w:space="0"/>
              <w:bottom w:val="single" w:color="auto" w:sz="4" w:space="0"/>
              <w:right w:val="single" w:color="auto" w:sz="4" w:space="0"/>
            </w:tcBorders>
            <w:vAlign w:val="center"/>
          </w:tc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3.补正后申请内容仍不明确</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（五）不予处理</w:t>
            </w: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1.信访举报投诉类申请</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continue"/>
            <w:tcBorders>
              <w:top w:val="single" w:color="auto" w:sz="4" w:space="0"/>
              <w:left w:val="single" w:color="auto" w:sz="4" w:space="0"/>
              <w:bottom w:val="single" w:color="auto" w:sz="4" w:space="0"/>
              <w:right w:val="single" w:color="auto" w:sz="4" w:space="0"/>
            </w:tcBorders>
            <w:vAlign w:val="center"/>
          </w:tc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2.重复申请</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continue"/>
            <w:tcBorders>
              <w:top w:val="single" w:color="auto" w:sz="4" w:space="0"/>
              <w:left w:val="single" w:color="auto" w:sz="4" w:space="0"/>
              <w:bottom w:val="single" w:color="auto" w:sz="4" w:space="0"/>
              <w:right w:val="single" w:color="auto" w:sz="4" w:space="0"/>
            </w:tcBorders>
            <w:vAlign w:val="center"/>
          </w:tc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3.要求提供公开出版物</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continue"/>
            <w:tcBorders>
              <w:top w:val="single" w:color="auto" w:sz="4" w:space="0"/>
              <w:left w:val="single" w:color="auto" w:sz="4" w:space="0"/>
              <w:bottom w:val="single" w:color="auto" w:sz="4" w:space="0"/>
              <w:right w:val="single" w:color="auto" w:sz="4" w:space="0"/>
            </w:tcBorders>
            <w:vAlign w:val="center"/>
          </w:tc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4.无正当理由大量反复申请</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continue"/>
            <w:tcBorders>
              <w:top w:val="single" w:color="auto" w:sz="4" w:space="0"/>
              <w:left w:val="single" w:color="auto" w:sz="4" w:space="0"/>
              <w:bottom w:val="single" w:color="auto" w:sz="4" w:space="0"/>
              <w:right w:val="single" w:color="auto" w:sz="4" w:space="0"/>
            </w:tcBorders>
            <w:vAlign w:val="center"/>
          </w:tc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eastAsia="宋体" w:cs="宋体"/>
                <w:kern w:val="0"/>
                <w:sz w:val="24"/>
                <w:szCs w:val="24"/>
              </w:rPr>
            </w:pPr>
            <w:r>
              <w:rPr>
                <w:rFonts w:hint="eastAsia" w:ascii="楷体" w:eastAsia="楷体" w:cs="宋体"/>
                <w:kern w:val="0"/>
                <w:sz w:val="20"/>
                <w:szCs w:val="20"/>
              </w:rPr>
              <w:t>5.要求行政机关确认或重新出具已获取信息</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restart"/>
            <w:tcBorders>
              <w:top w:val="single" w:color="auto" w:sz="4" w:space="0"/>
              <w:left w:val="single" w:color="auto" w:sz="4" w:space="0"/>
              <w:bottom w:val="single" w:color="auto" w:sz="4" w:space="0"/>
              <w:right w:val="single" w:color="auto" w:sz="4" w:space="0"/>
            </w:tcBorders>
            <w:vAlign w:val="center"/>
          </w:tcPr>
          <w:p>
            <w:pPr>
              <w:widowControl/>
              <w:jc w:val="left"/>
            </w:pPr>
            <w:r>
              <w:rPr>
                <w:rFonts w:hint="eastAsia" w:ascii="楷体" w:eastAsia="楷体" w:cs="宋体"/>
                <w:kern w:val="0"/>
                <w:sz w:val="20"/>
                <w:szCs w:val="20"/>
              </w:rPr>
              <w:t>（六）其他处理</w:t>
            </w: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hint="default" w:ascii="楷体" w:eastAsia="楷体" w:cs="宋体"/>
                <w:kern w:val="0"/>
                <w:sz w:val="20"/>
                <w:szCs w:val="20"/>
                <w:lang w:val="en-US" w:eastAsia="zh-CN"/>
              </w:rPr>
            </w:pPr>
            <w:r>
              <w:rPr>
                <w:rFonts w:hint="eastAsia" w:ascii="楷体" w:eastAsia="楷体" w:cs="宋体"/>
                <w:kern w:val="0"/>
                <w:sz w:val="20"/>
                <w:szCs w:val="20"/>
                <w:lang w:val="en-US" w:eastAsia="zh-CN"/>
              </w:rPr>
              <w:t>1.申请人无正当理由逾期不补正、行政机关不再处理其政府信息公开申请</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楷体" w:eastAsia="楷体" w:cs="宋体"/>
                <w:kern w:val="0"/>
                <w:sz w:val="20"/>
                <w:szCs w:val="20"/>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hint="default" w:ascii="楷体" w:eastAsia="楷体" w:cs="宋体"/>
                <w:kern w:val="0"/>
                <w:sz w:val="20"/>
                <w:szCs w:val="20"/>
                <w:lang w:val="en-US" w:eastAsia="zh-CN"/>
              </w:rPr>
            </w:pPr>
            <w:r>
              <w:rPr>
                <w:rFonts w:hint="eastAsia" w:ascii="楷体" w:eastAsia="楷体" w:cs="宋体"/>
                <w:kern w:val="0"/>
                <w:sz w:val="20"/>
                <w:szCs w:val="20"/>
                <w:lang w:val="en-US" w:eastAsia="zh-CN"/>
              </w:rPr>
              <w:t>2.申请人逾期未按收费通知要求缴纳费用、行政机关不再处理其政府信息公开申请</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8" w:space="0"/>
              <w:right w:val="single" w:color="auto" w:sz="8"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楷体" w:eastAsia="楷体" w:cs="宋体"/>
                <w:kern w:val="0"/>
                <w:sz w:val="20"/>
                <w:szCs w:val="20"/>
              </w:rPr>
            </w:pPr>
          </w:p>
        </w:tc>
        <w:tc>
          <w:tcPr>
            <w:tcW w:w="2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hint="default" w:ascii="楷体" w:eastAsia="楷体" w:cs="宋体"/>
                <w:kern w:val="0"/>
                <w:sz w:val="20"/>
                <w:szCs w:val="20"/>
                <w:lang w:val="en-US" w:eastAsia="zh-CN"/>
              </w:rPr>
            </w:pPr>
            <w:r>
              <w:rPr>
                <w:rFonts w:hint="eastAsia" w:ascii="楷体" w:eastAsia="楷体" w:cs="宋体"/>
                <w:kern w:val="0"/>
                <w:sz w:val="20"/>
                <w:szCs w:val="20"/>
                <w:lang w:val="en-US" w:eastAsia="zh-CN"/>
              </w:rPr>
              <w:t>3.其他</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1</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single" w:color="auto" w:sz="4" w:space="0"/>
              <w:bottom w:val="single" w:color="auto" w:sz="4"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nil"/>
              <w:left w:val="nil"/>
              <w:bottom w:val="single" w:color="auto" w:sz="4" w:space="0"/>
              <w:right w:val="single" w:color="auto" w:sz="8" w:space="0"/>
            </w:tcBorders>
            <w:tcMar>
              <w:left w:w="108" w:type="dxa"/>
              <w:right w:w="108" w:type="dxa"/>
            </w:tcMar>
            <w:vAlign w:val="center"/>
          </w:tcPr>
          <w:p>
            <w:pPr>
              <w:widowControl/>
              <w:jc w:val="center"/>
              <w:rPr>
                <w:rFonts w:hint="default"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7" w:hRule="atLeast"/>
          <w:jc w:val="center"/>
        </w:trPr>
        <w:tc>
          <w:tcPr>
            <w:vMerge w:val="continue"/>
            <w:tcBorders>
              <w:top w:val="single" w:color="auto" w:sz="4" w:space="0"/>
              <w:left w:val="single" w:color="auto" w:sz="4" w:space="0"/>
              <w:bottom w:val="single" w:color="auto" w:sz="4" w:space="0"/>
              <w:right w:val="single" w:color="auto" w:sz="4" w:space="0"/>
            </w:tcBorders>
            <w:vAlign w:val="center"/>
          </w:tcPr>
          <w:p/>
        </w:tc>
        <w:tc>
          <w:tcPr>
            <w:tcW w:w="3087"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宋体" w:eastAsia="宋体" w:cs="宋体"/>
                <w:kern w:val="0"/>
                <w:sz w:val="24"/>
                <w:szCs w:val="24"/>
              </w:rPr>
            </w:pPr>
            <w:r>
              <w:rPr>
                <w:rFonts w:hint="eastAsia" w:ascii="楷体" w:eastAsia="楷体" w:cs="宋体"/>
                <w:kern w:val="0"/>
                <w:sz w:val="20"/>
                <w:szCs w:val="20"/>
              </w:rPr>
              <w:t>（七）总计</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eastAsia="zh-CN"/>
              </w:rPr>
            </w:pPr>
            <w:r>
              <w:rPr>
                <w:rFonts w:hint="eastAsia" w:ascii="Times New Roman" w:hAnsi="Times New Roman" w:cs="Times New Roman"/>
                <w:kern w:val="0"/>
                <w:sz w:val="20"/>
                <w:szCs w:val="20"/>
                <w:lang w:val="en-US" w:eastAsia="zh-CN"/>
              </w:rPr>
              <w:t>11</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default"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bidi="ar-SA"/>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703" w:type="dxa"/>
            <w:gridSpan w:val="3"/>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left"/>
              <w:rPr>
                <w:rFonts w:ascii="宋体" w:eastAsia="宋体" w:cs="宋体"/>
                <w:kern w:val="0"/>
                <w:sz w:val="24"/>
                <w:szCs w:val="24"/>
              </w:rPr>
            </w:pPr>
            <w:r>
              <w:rPr>
                <w:rFonts w:hint="eastAsia" w:ascii="宋体" w:eastAsia="宋体" w:cs="宋体"/>
                <w:kern w:val="0"/>
                <w:sz w:val="20"/>
                <w:szCs w:val="20"/>
              </w:rPr>
              <w:t>四、结转下年度继续办理</w:t>
            </w:r>
          </w:p>
        </w:tc>
        <w:tc>
          <w:tcPr>
            <w:tcW w:w="67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Times New Roman" w:hAnsi="Times New Roman" w:eastAsia="宋体" w:cs="Times New Roman"/>
                <w:kern w:val="0"/>
                <w:sz w:val="20"/>
                <w:szCs w:val="20"/>
                <w:lang w:val="en-US" w:eastAsia="zh-CN" w:bidi="ar-SA"/>
              </w:rPr>
            </w:pPr>
            <w:r>
              <w:rPr>
                <w:rFonts w:hint="eastAsia" w:ascii="Times New Roman" w:hAnsi="Times New Roman" w:cs="Times New Roman"/>
                <w:kern w:val="0"/>
                <w:sz w:val="20"/>
                <w:szCs w:val="20"/>
                <w:lang w:val="en-US" w:eastAsia="zh-CN"/>
              </w:rPr>
              <w:t>0</w:t>
            </w:r>
          </w:p>
        </w:tc>
        <w:tc>
          <w:tcPr>
            <w:tcW w:w="82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r>
    </w:tbl>
    <w:p>
      <w:pPr>
        <w:ind w:firstLine="640" w:firstLineChars="200"/>
        <w:rPr>
          <w:rFonts w:ascii="方正黑体_GBK" w:eastAsia="方正黑体_GBK" w:cs="方正黑体_GBK"/>
          <w:sz w:val="32"/>
          <w:szCs w:val="32"/>
        </w:rPr>
      </w:pPr>
      <w:r>
        <w:rPr>
          <w:rFonts w:hint="eastAsia" w:ascii="方正黑体_GBK" w:eastAsia="方正黑体_GBK" w:cs="方正黑体_GBK"/>
          <w:sz w:val="32"/>
          <w:szCs w:val="32"/>
        </w:rPr>
        <w:t>四、政府信息公开行政复议、行政诉讼情况</w:t>
      </w:r>
    </w:p>
    <w:tbl>
      <w:tblPr>
        <w:tblStyle w:val="5"/>
        <w:tblW w:w="983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655"/>
        <w:gridCol w:w="655"/>
        <w:gridCol w:w="655"/>
        <w:gridCol w:w="655"/>
        <w:gridCol w:w="714"/>
        <w:gridCol w:w="596"/>
        <w:gridCol w:w="656"/>
        <w:gridCol w:w="656"/>
        <w:gridCol w:w="656"/>
        <w:gridCol w:w="657"/>
        <w:gridCol w:w="656"/>
        <w:gridCol w:w="656"/>
        <w:gridCol w:w="656"/>
        <w:gridCol w:w="657"/>
        <w:gridCol w:w="6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jc w:val="center"/>
        </w:trPr>
        <w:tc>
          <w:tcPr>
            <w:tcW w:w="333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行政复议</w:t>
            </w:r>
          </w:p>
        </w:tc>
        <w:tc>
          <w:tcPr>
            <w:tcW w:w="6505" w:type="dxa"/>
            <w:gridSpan w:val="10"/>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jc w:val="center"/>
        </w:trPr>
        <w:tc>
          <w:tcPr>
            <w:tcW w:w="655"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结果维持</w:t>
            </w:r>
          </w:p>
        </w:tc>
        <w:tc>
          <w:tcPr>
            <w:tcW w:w="655" w:type="dxa"/>
            <w:vMerge w:val="restart"/>
            <w:tcBorders>
              <w:top w:val="nil"/>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结果纠正</w:t>
            </w:r>
          </w:p>
        </w:tc>
        <w:tc>
          <w:tcPr>
            <w:tcW w:w="655"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其他结果</w:t>
            </w:r>
          </w:p>
        </w:tc>
        <w:tc>
          <w:tcPr>
            <w:tcW w:w="655"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尚未审结</w:t>
            </w:r>
          </w:p>
        </w:tc>
        <w:tc>
          <w:tcPr>
            <w:tcW w:w="71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总计</w:t>
            </w:r>
          </w:p>
        </w:tc>
        <w:tc>
          <w:tcPr>
            <w:tcW w:w="3221"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未经复议直接起诉</w:t>
            </w:r>
          </w:p>
        </w:tc>
        <w:tc>
          <w:tcPr>
            <w:tcW w:w="3284"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35" w:hRule="atLeast"/>
          <w:jc w:val="center"/>
        </w:trPr>
        <w:tc>
          <w:tcPr>
            <w:vMerge w:val="continue"/>
            <w:tcBorders>
              <w:top w:val="nil"/>
              <w:left w:val="single" w:color="auto" w:sz="8" w:space="0"/>
              <w:bottom w:val="single" w:color="auto" w:sz="8" w:space="0"/>
              <w:right w:val="single" w:color="auto" w:sz="8" w:space="0"/>
            </w:tcBorders>
            <w:vAlign w:val="center"/>
          </w:tcPr>
          <w:p/>
        </w:tc>
        <w:tc>
          <w:tcPr>
            <w:vMerge w:val="continue"/>
            <w:tcBorders>
              <w:top w:val="nil"/>
              <w:left w:val="nil"/>
              <w:bottom w:val="single" w:color="auto" w:sz="8" w:space="0"/>
              <w:right w:val="single" w:color="auto" w:sz="8" w:space="0"/>
            </w:tcBorders>
            <w:vAlign w:val="center"/>
          </w:tcPr>
          <w:p/>
        </w:tc>
        <w:tc>
          <w:tcPr>
            <w:vMerge w:val="continue"/>
            <w:tcBorders>
              <w:top w:val="single" w:color="auto" w:sz="8" w:space="0"/>
              <w:left w:val="nil"/>
              <w:bottom w:val="single" w:color="auto" w:sz="8" w:space="0"/>
              <w:right w:val="single" w:color="auto" w:sz="8" w:space="0"/>
            </w:tcBorders>
            <w:vAlign w:val="center"/>
          </w:tcPr>
          <w:p/>
        </w:tc>
        <w:tc>
          <w:tcPr>
            <w:tcW w:w="655" w:type="dxa"/>
            <w:vMerge w:val="continue"/>
            <w:tcBorders>
              <w:top w:val="single" w:color="auto" w:sz="8" w:space="0"/>
              <w:left w:val="nil"/>
              <w:bottom w:val="single" w:color="auto" w:sz="8" w:space="0"/>
              <w:right w:val="single" w:color="auto" w:sz="8" w:space="0"/>
            </w:tcBorders>
            <w:vAlign w:val="center"/>
          </w:tcPr>
          <w:p/>
        </w:tc>
        <w:tc>
          <w:tcPr>
            <w:tcW w:w="714" w:type="dxa"/>
            <w:vMerge w:val="continue"/>
            <w:tcBorders>
              <w:top w:val="single" w:color="auto" w:sz="8" w:space="0"/>
              <w:left w:val="nil"/>
              <w:bottom w:val="single" w:color="auto" w:sz="8" w:space="0"/>
              <w:right w:val="single" w:color="auto" w:sz="8" w:space="0"/>
            </w:tcBorders>
            <w:vAlign w:val="center"/>
          </w:tcPr>
          <w:p/>
        </w:tc>
        <w:tc>
          <w:tcPr>
            <w:tcW w:w="596"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结果维持</w:t>
            </w:r>
          </w:p>
        </w:tc>
        <w:tc>
          <w:tcPr>
            <w:tcW w:w="656" w:type="dxa"/>
            <w:tcBorders>
              <w:top w:val="nil"/>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结果纠正</w:t>
            </w:r>
          </w:p>
        </w:tc>
        <w:tc>
          <w:tcPr>
            <w:tcW w:w="656"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其他结果</w:t>
            </w:r>
          </w:p>
        </w:tc>
        <w:tc>
          <w:tcPr>
            <w:tcW w:w="656"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尚未审结</w:t>
            </w:r>
          </w:p>
        </w:tc>
        <w:tc>
          <w:tcPr>
            <w:tcW w:w="657"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color w:val="000000"/>
                <w:kern w:val="0"/>
                <w:sz w:val="20"/>
                <w:szCs w:val="20"/>
              </w:rPr>
              <w:t>总计</w:t>
            </w:r>
          </w:p>
        </w:tc>
        <w:tc>
          <w:tcPr>
            <w:tcW w:w="656"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结果维持</w:t>
            </w:r>
          </w:p>
        </w:tc>
        <w:tc>
          <w:tcPr>
            <w:tcW w:w="656"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结果纠正</w:t>
            </w:r>
          </w:p>
        </w:tc>
        <w:tc>
          <w:tcPr>
            <w:tcW w:w="656"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color w:val="000000"/>
                <w:kern w:val="0"/>
                <w:sz w:val="20"/>
                <w:szCs w:val="20"/>
              </w:rPr>
              <w:t>其他结果</w:t>
            </w:r>
          </w:p>
        </w:tc>
        <w:tc>
          <w:tcPr>
            <w:tcW w:w="657"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kern w:val="0"/>
                <w:sz w:val="20"/>
                <w:szCs w:val="20"/>
              </w:rPr>
              <w:t>尚未审结</w:t>
            </w:r>
          </w:p>
        </w:tc>
        <w:tc>
          <w:tcPr>
            <w:tcW w:w="659"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eastAsia="宋体" w:cs="宋体"/>
                <w:kern w:val="0"/>
                <w:sz w:val="24"/>
                <w:szCs w:val="24"/>
              </w:rPr>
            </w:pPr>
            <w:r>
              <w:rPr>
                <w:rFonts w:hint="eastAsia" w:ascii="宋体" w:eastAsia="宋体" w:cs="宋体"/>
                <w:color w:val="000000"/>
                <w:kern w:val="0"/>
                <w:sz w:val="20"/>
                <w:szCs w:val="2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3" w:hRule="atLeast"/>
          <w:jc w:val="center"/>
        </w:trPr>
        <w:tc>
          <w:tcPr>
            <w:tcW w:w="655"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left"/>
              <w:rPr>
                <w:rFonts w:hint="eastAsia" w:ascii="Times New Roman" w:hAnsi="Times New Roman" w:eastAsia="宋体" w:cs="Times New Roman"/>
                <w:kern w:val="0"/>
                <w:sz w:val="20"/>
                <w:szCs w:val="20"/>
                <w:lang w:val="en-US" w:eastAsia="zh-CN"/>
              </w:rPr>
            </w:pPr>
            <w:r>
              <w:rPr>
                <w:rFonts w:ascii="Times New Roman" w:hAnsi="Times New Roman" w:eastAsia="宋体" w:cs="Times New Roman"/>
                <w:kern w:val="0"/>
                <w:sz w:val="20"/>
                <w:szCs w:val="20"/>
              </w:rPr>
              <w:t xml:space="preserve">  </w:t>
            </w:r>
            <w:r>
              <w:rPr>
                <w:rFonts w:hint="eastAsia" w:ascii="Times New Roman" w:hAnsi="Times New Roman" w:cs="Times New Roman"/>
                <w:kern w:val="0"/>
                <w:sz w:val="20"/>
                <w:szCs w:val="20"/>
                <w:lang w:val="en-US" w:eastAsia="zh-CN"/>
              </w:rPr>
              <w:t>0</w:t>
            </w:r>
          </w:p>
        </w:tc>
        <w:tc>
          <w:tcPr>
            <w:tcW w:w="655"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655"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655"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714"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596"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656"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656"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656"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657"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656"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656"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656"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657"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c>
          <w:tcPr>
            <w:tcW w:w="659" w:type="dxa"/>
            <w:tcBorders>
              <w:top w:val="nil"/>
              <w:left w:val="nil"/>
              <w:bottom w:val="single" w:color="auto" w:sz="8" w:space="0"/>
              <w:right w:val="single" w:color="auto" w:sz="8" w:space="0"/>
            </w:tcBorders>
            <w:tcMar>
              <w:left w:w="108" w:type="dxa"/>
              <w:right w:w="108" w:type="dxa"/>
            </w:tcMar>
            <w:vAlign w:val="center"/>
          </w:tcPr>
          <w:p>
            <w:pPr>
              <w:widowControl/>
              <w:jc w:val="center"/>
              <w:rPr>
                <w:rFonts w:hint="eastAsia" w:ascii="Times New Roman" w:hAnsi="Times New Roman" w:eastAsia="宋体" w:cs="Times New Roman"/>
                <w:kern w:val="0"/>
                <w:sz w:val="20"/>
                <w:szCs w:val="20"/>
                <w:lang w:val="en-US" w:eastAsia="zh-CN"/>
              </w:rPr>
            </w:pPr>
            <w:r>
              <w:rPr>
                <w:rFonts w:hint="eastAsia" w:ascii="Times New Roman" w:hAnsi="Times New Roman" w:cs="Times New Roman"/>
                <w:kern w:val="0"/>
                <w:sz w:val="20"/>
                <w:szCs w:val="20"/>
                <w:lang w:val="en-US" w:eastAsia="zh-CN"/>
              </w:rPr>
              <w:t>0</w:t>
            </w:r>
          </w:p>
        </w:tc>
      </w:tr>
    </w:tbl>
    <w:p>
      <w:pPr>
        <w:ind w:firstLine="640" w:firstLineChars="200"/>
        <w:rPr>
          <w:rFonts w:ascii="方正黑体_GBK" w:eastAsia="方正黑体_GBK" w:cs="方正黑体_GBK"/>
          <w:sz w:val="32"/>
          <w:szCs w:val="32"/>
        </w:rPr>
      </w:pPr>
      <w:r>
        <w:rPr>
          <w:rFonts w:hint="eastAsia" w:ascii="方正黑体_GBK" w:eastAsia="方正黑体_GBK" w:cs="方正黑体_GBK"/>
          <w:sz w:val="32"/>
          <w:szCs w:val="32"/>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2023年我局政府信息公开工作存在的主要问题：一是政府信息公开标准化、规范化建设有待加强；二是信息公开便民利民的力度还需进一步加大；三是依申请公开办理及答复质量有待进一步提高。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sz w:val="27"/>
          <w:szCs w:val="27"/>
        </w:rPr>
      </w:pPr>
      <w:r>
        <w:rPr>
          <w:rFonts w:hint="default" w:ascii="Times New Roman" w:hAnsi="Times New Roman" w:eastAsia="方正仿宋_GBK" w:cs="Times New Roman"/>
          <w:color w:val="auto"/>
          <w:sz w:val="32"/>
          <w:szCs w:val="32"/>
          <w:lang w:val="en-US" w:eastAsia="zh-CN"/>
        </w:rPr>
        <w:t>2024年我局将计划重点在以下三个方面开展工作：一是进一步增强政府信息公开工作意识，落实政府信息发布、政策解读主体责任，建立健全政务公开各项制度，</w:t>
      </w:r>
      <w:r>
        <w:rPr>
          <w:rFonts w:hint="default" w:ascii="Times New Roman" w:hAnsi="Times New Roman" w:eastAsia="方正仿宋_GBK" w:cs="Times New Roman"/>
          <w:i w:val="0"/>
          <w:iCs w:val="0"/>
          <w:caps w:val="0"/>
          <w:color w:val="auto"/>
          <w:spacing w:val="0"/>
          <w:sz w:val="32"/>
          <w:szCs w:val="32"/>
          <w:shd w:val="clear" w:fill="FFFFFF"/>
        </w:rPr>
        <w:t>推动政府信息公开工作与业务工作同步部署、同步推动、相互促进</w:t>
      </w:r>
      <w:r>
        <w:rPr>
          <w:rFonts w:hint="default" w:ascii="Times New Roman" w:hAnsi="Times New Roman" w:eastAsia="方正仿宋_GBK" w:cs="Times New Roman"/>
          <w:color w:val="auto"/>
          <w:sz w:val="32"/>
          <w:szCs w:val="32"/>
          <w:lang w:val="en-US" w:eastAsia="zh-CN"/>
        </w:rPr>
        <w:t>。二是</w:t>
      </w:r>
      <w:r>
        <w:rPr>
          <w:rFonts w:hint="default" w:ascii="Times New Roman" w:hAnsi="Times New Roman" w:eastAsia="方正仿宋_GBK" w:cs="Times New Roman"/>
          <w:i w:val="0"/>
          <w:iCs w:val="0"/>
          <w:caps w:val="0"/>
          <w:color w:val="auto"/>
          <w:spacing w:val="0"/>
          <w:sz w:val="32"/>
          <w:szCs w:val="32"/>
          <w:shd w:val="clear" w:fill="FFFFFF"/>
        </w:rPr>
        <w:t>切实提升政府信息公开实效</w:t>
      </w:r>
      <w:r>
        <w:rPr>
          <w:rFonts w:hint="default"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i w:val="0"/>
          <w:iCs w:val="0"/>
          <w:caps w:val="0"/>
          <w:color w:val="auto"/>
          <w:spacing w:val="0"/>
          <w:sz w:val="32"/>
          <w:szCs w:val="32"/>
          <w:shd w:val="clear" w:fill="FFFFFF"/>
        </w:rPr>
        <w:t>不断丰富政府信息公开内容，聚焦优化营商环境和服务保障民生、监督抽检执法等领域及时准确发布政府信息</w:t>
      </w:r>
      <w:r>
        <w:rPr>
          <w:rFonts w:hint="default"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增进社会公众对市场监管领域决策部署的了解支持，传播市场监管“好声音、正能量”。</w:t>
      </w:r>
      <w:r>
        <w:rPr>
          <w:rFonts w:hint="default" w:ascii="Times New Roman" w:hAnsi="Times New Roman" w:eastAsia="方正仿宋_GBK" w:cs="Times New Roman"/>
          <w:color w:val="auto"/>
          <w:sz w:val="32"/>
          <w:szCs w:val="32"/>
          <w:lang w:val="en-US" w:eastAsia="zh-CN"/>
        </w:rPr>
        <w:t>三是</w:t>
      </w:r>
      <w:r>
        <w:rPr>
          <w:rFonts w:hint="default" w:ascii="Times New Roman" w:hAnsi="Times New Roman" w:eastAsia="方正仿宋_GBK" w:cs="Times New Roman"/>
          <w:i w:val="0"/>
          <w:iCs w:val="0"/>
          <w:caps w:val="0"/>
          <w:color w:val="auto"/>
          <w:spacing w:val="0"/>
          <w:sz w:val="32"/>
          <w:szCs w:val="32"/>
          <w:shd w:val="clear" w:fill="FFFFFF"/>
        </w:rPr>
        <w:t>严格信息公开审核</w:t>
      </w:r>
      <w:r>
        <w:rPr>
          <w:rFonts w:hint="default"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i w:val="0"/>
          <w:iCs w:val="0"/>
          <w:caps w:val="0"/>
          <w:color w:val="auto"/>
          <w:spacing w:val="0"/>
          <w:sz w:val="32"/>
          <w:szCs w:val="32"/>
          <w:shd w:val="clear" w:fill="FFFFFF"/>
        </w:rPr>
        <w:t>不断完善信息公开审核机制，优化信息公开审核流程，严格落实“三审三校”“先审后发”，确保发布内容准确、规范、严谨，做到敏感信息审慎发布、未经审核的信息禁止发布。</w:t>
      </w:r>
    </w:p>
    <w:p>
      <w:pPr>
        <w:ind w:firstLine="640" w:firstLineChars="200"/>
        <w:rPr>
          <w:rFonts w:ascii="黑体" w:eastAsia="黑体"/>
          <w:sz w:val="32"/>
          <w:szCs w:val="32"/>
        </w:rPr>
      </w:pPr>
      <w:r>
        <w:rPr>
          <w:rFonts w:hint="eastAsia" w:ascii="黑体" w:eastAsia="黑体"/>
          <w:sz w:val="32"/>
          <w:szCs w:val="32"/>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rPr>
      </w:pPr>
      <w:r>
        <w:rPr>
          <w:rFonts w:hint="eastAsia" w:ascii="Times New Roman" w:hAnsi="Times New Roman" w:eastAsia="方正仿宋_GBK" w:cs="方正仿宋_GBK"/>
          <w:sz w:val="32"/>
          <w:szCs w:val="32"/>
        </w:rPr>
        <w:t>按照《政府信息公开信息处理费管理办法》（国办函〔2020〕109号）规定，202</w:t>
      </w:r>
      <w:r>
        <w:rPr>
          <w:rFonts w:hint="eastAsia" w:ascii="Times New Roman" w:hAnsi="Times New Roman" w:eastAsia="方正仿宋_GBK" w:cs="方正仿宋_GBK"/>
          <w:sz w:val="32"/>
          <w:szCs w:val="32"/>
          <w:lang w:val="en-US" w:eastAsia="zh-CN"/>
        </w:rPr>
        <w:t>3</w:t>
      </w:r>
      <w:r>
        <w:rPr>
          <w:rFonts w:hint="eastAsia" w:ascii="Times New Roman" w:hAnsi="Times New Roman" w:eastAsia="方正仿宋_GBK" w:cs="方正仿宋_GBK"/>
          <w:sz w:val="32"/>
          <w:szCs w:val="32"/>
        </w:rPr>
        <w:t>年共收取信息处理费0元。</w:t>
      </w:r>
    </w:p>
    <w:p>
      <w:pPr>
        <w:ind w:firstLine="640" w:firstLineChars="200"/>
        <w:rPr>
          <w:rFonts w:ascii="方正仿宋_GBK" w:eastAsia="方正仿宋_GBK" w:cs="方正仿宋_GBK"/>
          <w:sz w:val="32"/>
          <w:szCs w:val="32"/>
        </w:rPr>
      </w:pPr>
    </w:p>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59FF029-BB69-413D-A90A-F680D00D9C8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embedRegular r:id="rId2" w:fontKey="{8445600F-9347-4990-9A39-DB28B460290E}"/>
  </w:font>
  <w:font w:name="方正黑体_GBK">
    <w:panose1 w:val="03000509000000000000"/>
    <w:charset w:val="86"/>
    <w:family w:val="script"/>
    <w:pitch w:val="default"/>
    <w:sig w:usb0="00000001" w:usb1="080E0000" w:usb2="00000000" w:usb3="00000000" w:csb0="00040000" w:csb1="00000000"/>
    <w:embedRegular r:id="rId3" w:fontKey="{95757C29-065F-4C43-B032-F9AE772D2F64}"/>
  </w:font>
  <w:font w:name="方正仿宋_GBK">
    <w:panose1 w:val="03000509000000000000"/>
    <w:charset w:val="86"/>
    <w:family w:val="script"/>
    <w:pitch w:val="default"/>
    <w:sig w:usb0="00000001" w:usb1="080E0000" w:usb2="00000000" w:usb3="00000000" w:csb0="00040000" w:csb1="00000000"/>
    <w:embedRegular r:id="rId4" w:fontKey="{46735126-469E-4670-9D69-B6F4EE44A599}"/>
  </w:font>
  <w:font w:name="楷体">
    <w:panose1 w:val="02010609060101010101"/>
    <w:charset w:val="86"/>
    <w:family w:val="modern"/>
    <w:pitch w:val="default"/>
    <w:sig w:usb0="800002BF" w:usb1="38CF7CFA" w:usb2="00000016" w:usb3="00000000" w:csb0="00040001" w:csb1="00000000"/>
    <w:embedRegular r:id="rId5" w:fontKey="{CECC270E-96DD-456A-9C15-9B0F34A9929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  \* MERGEFORMAT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1</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  \* MERGEFORMAT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1</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5ZTI5ODFmMjU5ZDI5ODAyMGUxMDdiZmY5MGM0MTgifQ=="/>
  </w:docVars>
  <w:rsids>
    <w:rsidRoot w:val="2AE61FA9"/>
    <w:rsid w:val="035618EA"/>
    <w:rsid w:val="05E01621"/>
    <w:rsid w:val="063F1604"/>
    <w:rsid w:val="0C253AD2"/>
    <w:rsid w:val="101846E9"/>
    <w:rsid w:val="10BE10ED"/>
    <w:rsid w:val="1DFC3E93"/>
    <w:rsid w:val="1F812483"/>
    <w:rsid w:val="2042704D"/>
    <w:rsid w:val="20F06302"/>
    <w:rsid w:val="225C2FF1"/>
    <w:rsid w:val="29FF6D9B"/>
    <w:rsid w:val="2A2C45A4"/>
    <w:rsid w:val="2AE61FA9"/>
    <w:rsid w:val="2C4C0C14"/>
    <w:rsid w:val="37662B48"/>
    <w:rsid w:val="383C2774"/>
    <w:rsid w:val="3F944A63"/>
    <w:rsid w:val="410F072B"/>
    <w:rsid w:val="44050BA8"/>
    <w:rsid w:val="440D7B75"/>
    <w:rsid w:val="44D451EB"/>
    <w:rsid w:val="4F9803B2"/>
    <w:rsid w:val="4FB740D6"/>
    <w:rsid w:val="567011EA"/>
    <w:rsid w:val="5B07533E"/>
    <w:rsid w:val="60AF5F2B"/>
    <w:rsid w:val="62CA6A4B"/>
    <w:rsid w:val="68703BF0"/>
    <w:rsid w:val="6A786C43"/>
    <w:rsid w:val="7158116F"/>
    <w:rsid w:val="74DD5C42"/>
    <w:rsid w:val="75A849CA"/>
    <w:rsid w:val="765F5A8C"/>
    <w:rsid w:val="780C2FB1"/>
    <w:rsid w:val="782A7918"/>
    <w:rsid w:val="785D3E82"/>
    <w:rsid w:val="7ED1587B"/>
    <w:rsid w:val="FDED0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Arial"/>
      <w:kern w:val="2"/>
      <w:sz w:val="21"/>
      <w:szCs w:val="22"/>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777</Words>
  <Characters>800</Characters>
  <Lines>0</Lines>
  <Paragraphs>0</Paragraphs>
  <TotalTime>221</TotalTime>
  <ScaleCrop>false</ScaleCrop>
  <LinksUpToDate>false</LinksUpToDate>
  <CharactersWithSpaces>964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2021-12-29T16:10:00Z</dcterms:created>
  <dc:creator>猫</dc:creator>
  <cp:lastModifiedBy>徐佳男</cp:lastModifiedBy>
  <dcterms:modified xsi:type="dcterms:W3CDTF">2024-01-15T04:01:54Z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27F863AE9FB7253A891E89654B1C331D</vt:lpwstr>
  </property>
</Properties>
</file>